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3599" w14:textId="7DAD2BA0" w:rsidR="0007529B" w:rsidRDefault="0007529B" w:rsidP="0007529B">
      <w:pPr>
        <w:autoSpaceDE w:val="0"/>
        <w:autoSpaceDN w:val="0"/>
        <w:adjustRightInd w:val="0"/>
        <w:spacing w:after="0" w:line="240" w:lineRule="auto"/>
        <w:jc w:val="center"/>
        <w:rPr>
          <w:rFonts w:ascii="Arial" w:hAnsi="Arial" w:cs="Arial"/>
          <w:iCs/>
          <w:sz w:val="24"/>
          <w:szCs w:val="24"/>
        </w:rPr>
      </w:pPr>
      <w:bookmarkStart w:id="0" w:name="_Hlk125548442"/>
      <w:r>
        <w:rPr>
          <w:rFonts w:ascii="Arial" w:hAnsi="Arial" w:cs="Arial"/>
          <w:b/>
          <w:iCs/>
          <w:sz w:val="28"/>
          <w:szCs w:val="24"/>
        </w:rPr>
        <w:t xml:space="preserve">Tuberculosis (TB) - </w:t>
      </w:r>
      <w:r w:rsidRPr="00894B68">
        <w:rPr>
          <w:rFonts w:ascii="Arial" w:hAnsi="Arial" w:cs="Arial"/>
          <w:b/>
          <w:iCs/>
          <w:sz w:val="28"/>
          <w:szCs w:val="24"/>
        </w:rPr>
        <w:t>Annual Health Screening</w:t>
      </w:r>
    </w:p>
    <w:p w14:paraId="0B9E0D81" w14:textId="77777777" w:rsidR="00984712" w:rsidRDefault="00984712" w:rsidP="00984712">
      <w:pPr>
        <w:autoSpaceDE w:val="0"/>
        <w:autoSpaceDN w:val="0"/>
        <w:adjustRightInd w:val="0"/>
        <w:spacing w:after="0" w:line="240" w:lineRule="auto"/>
        <w:rPr>
          <w:rFonts w:ascii="Arial" w:hAnsi="Arial" w:cs="Arial"/>
          <w:iCs/>
          <w:sz w:val="24"/>
          <w:szCs w:val="24"/>
        </w:rPr>
      </w:pPr>
    </w:p>
    <w:p w14:paraId="7296AB75" w14:textId="1DBB608C" w:rsidR="00E3482A" w:rsidRPr="001A5BCA" w:rsidRDefault="0007529B" w:rsidP="00E3482A">
      <w:pPr>
        <w:autoSpaceDE w:val="0"/>
        <w:autoSpaceDN w:val="0"/>
        <w:adjustRightInd w:val="0"/>
        <w:spacing w:after="0" w:line="240" w:lineRule="auto"/>
        <w:jc w:val="both"/>
        <w:rPr>
          <w:rFonts w:ascii="Arial" w:eastAsia="Times New Roman" w:hAnsi="Arial" w:cs="Arial"/>
          <w:color w:val="000000"/>
          <w:lang w:val="en-US"/>
        </w:rPr>
      </w:pPr>
      <w:r w:rsidRPr="00E3482A">
        <w:rPr>
          <w:rFonts w:ascii="Arial" w:hAnsi="Arial" w:cs="Arial"/>
          <w:iCs/>
        </w:rPr>
        <w:t>Annual health screening is specifically designed to identify possible areas of special need in relation to TB.</w:t>
      </w:r>
      <w:r w:rsidR="00E3482A">
        <w:rPr>
          <w:rFonts w:ascii="Arial" w:hAnsi="Arial" w:cs="Arial"/>
          <w:b/>
          <w:iCs/>
          <w:color w:val="8DB3E2" w:themeColor="text2" w:themeTint="66"/>
        </w:rPr>
        <w:t xml:space="preserve">  </w:t>
      </w:r>
      <w:r w:rsidR="001D5005" w:rsidRPr="00E3482A">
        <w:rPr>
          <w:rFonts w:ascii="Arial" w:eastAsia="Times New Roman" w:hAnsi="Arial" w:cs="Arial"/>
          <w:color w:val="000000"/>
          <w:lang w:val="en-US"/>
        </w:rPr>
        <w:t xml:space="preserve">It is a national Department of Health guideline that Occupational Health issue an annual reminder on the symptoms of TB and the need for the prompt reporting of symptoms.  </w:t>
      </w:r>
      <w:r w:rsidR="001E7BD5" w:rsidRPr="001A5BCA">
        <w:rPr>
          <w:rFonts w:ascii="Arial" w:eastAsia="Times New Roman" w:hAnsi="Arial" w:cs="Arial"/>
          <w:b/>
          <w:bCs/>
          <w:lang w:val="en-US"/>
        </w:rPr>
        <w:t>In determining who should complete this annual screening the following occupational groups are in scope:</w:t>
      </w:r>
    </w:p>
    <w:p w14:paraId="4A7A98A5" w14:textId="77777777" w:rsidR="00E3482A" w:rsidRPr="00E3482A" w:rsidRDefault="00E3482A" w:rsidP="00E3482A">
      <w:pPr>
        <w:spacing w:before="120" w:after="120"/>
        <w:jc w:val="both"/>
        <w:rPr>
          <w:rFonts w:ascii="Arial" w:hAnsi="Arial" w:cs="Arial"/>
        </w:rPr>
      </w:pPr>
      <w:r w:rsidRPr="00E3482A">
        <w:rPr>
          <w:rFonts w:ascii="Arial" w:hAnsi="Arial" w:cs="Arial"/>
        </w:rPr>
        <w:t>Healthcare worker (HCW), laboratory worker or mortuary staff who has either direct contact with TB patients or with potentially infectious clinical materials or derived isolates.</w:t>
      </w:r>
    </w:p>
    <w:p w14:paraId="70D4810C" w14:textId="77777777" w:rsidR="00E3482A" w:rsidRPr="00E3482A" w:rsidRDefault="00E3482A" w:rsidP="00E3482A">
      <w:pPr>
        <w:spacing w:before="120" w:after="120"/>
        <w:jc w:val="both"/>
        <w:rPr>
          <w:rFonts w:ascii="Arial" w:hAnsi="Arial" w:cs="Arial"/>
        </w:rPr>
      </w:pPr>
      <w:r w:rsidRPr="00E3482A">
        <w:rPr>
          <w:rFonts w:ascii="Arial" w:hAnsi="Arial" w:cs="Arial"/>
        </w:rPr>
        <w:t xml:space="preserve">In addition, there are </w:t>
      </w:r>
      <w:proofErr w:type="gramStart"/>
      <w:r w:rsidRPr="00E3482A">
        <w:rPr>
          <w:rFonts w:ascii="Arial" w:hAnsi="Arial" w:cs="Arial"/>
        </w:rPr>
        <w:t>a number of</w:t>
      </w:r>
      <w:proofErr w:type="gramEnd"/>
      <w:r w:rsidRPr="00E3482A">
        <w:rPr>
          <w:rFonts w:ascii="Arial" w:hAnsi="Arial" w:cs="Arial"/>
        </w:rPr>
        <w:t xml:space="preserve"> occupational groups who are working with persons at higher risk of acquiring TB. These include staff working with prisoners, homeless persons, persons with drug and alcohol misuse and those who work with refugees and asylum seekers. BCG vaccination may also be considered for these groups.</w:t>
      </w:r>
    </w:p>
    <w:p w14:paraId="5B87838F" w14:textId="3085ACF0" w:rsidR="00E3482A" w:rsidRPr="00E3482A" w:rsidRDefault="00E3482A" w:rsidP="00E3482A">
      <w:pPr>
        <w:spacing w:before="120" w:after="120"/>
        <w:jc w:val="both"/>
        <w:rPr>
          <w:rFonts w:ascii="Arial" w:hAnsi="Arial" w:cs="Arial"/>
        </w:rPr>
      </w:pPr>
      <w:r w:rsidRPr="00E3482A">
        <w:rPr>
          <w:rFonts w:ascii="Arial" w:hAnsi="Arial" w:cs="Arial"/>
        </w:rPr>
        <w:t xml:space="preserve">In the hospital setting this may include </w:t>
      </w:r>
      <w:r>
        <w:rPr>
          <w:rFonts w:ascii="Arial" w:hAnsi="Arial" w:cs="Arial"/>
        </w:rPr>
        <w:t>HCWs working</w:t>
      </w:r>
      <w:r w:rsidRPr="00E3482A">
        <w:rPr>
          <w:rFonts w:ascii="Arial" w:hAnsi="Arial" w:cs="Arial"/>
        </w:rPr>
        <w:t xml:space="preserve"> in or who perform:</w:t>
      </w:r>
    </w:p>
    <w:p w14:paraId="78CEDC76" w14:textId="77777777" w:rsidR="00E3482A" w:rsidRPr="00E3482A" w:rsidRDefault="00E3482A" w:rsidP="00E3482A">
      <w:pPr>
        <w:pStyle w:val="ListParagraph"/>
        <w:numPr>
          <w:ilvl w:val="0"/>
          <w:numId w:val="6"/>
        </w:numPr>
        <w:spacing w:before="120" w:after="120"/>
        <w:jc w:val="both"/>
        <w:rPr>
          <w:rFonts w:ascii="Arial" w:hAnsi="Arial" w:cs="Arial"/>
        </w:rPr>
      </w:pPr>
      <w:r w:rsidRPr="00E3482A">
        <w:rPr>
          <w:rFonts w:ascii="Arial" w:hAnsi="Arial" w:cs="Arial"/>
        </w:rPr>
        <w:t>Emergency departments and medical assessments units – as they are likely to be exposed to respiratory problems before diagnosis, including intubation</w:t>
      </w:r>
    </w:p>
    <w:p w14:paraId="32ECA111" w14:textId="77777777" w:rsidR="00E3482A" w:rsidRPr="00E3482A" w:rsidRDefault="00E3482A" w:rsidP="00E3482A">
      <w:pPr>
        <w:pStyle w:val="ListParagraph"/>
        <w:numPr>
          <w:ilvl w:val="0"/>
          <w:numId w:val="6"/>
        </w:numPr>
        <w:spacing w:before="120" w:after="120"/>
        <w:jc w:val="both"/>
        <w:rPr>
          <w:rFonts w:ascii="Arial" w:hAnsi="Arial" w:cs="Arial"/>
        </w:rPr>
      </w:pPr>
      <w:r w:rsidRPr="00E3482A">
        <w:rPr>
          <w:rFonts w:ascii="Arial" w:hAnsi="Arial" w:cs="Arial"/>
        </w:rPr>
        <w:t>Respiratory/HIV wards</w:t>
      </w:r>
    </w:p>
    <w:p w14:paraId="3AEBC8F1" w14:textId="77777777" w:rsidR="00E3482A" w:rsidRPr="00E3482A" w:rsidRDefault="00E3482A" w:rsidP="00E3482A">
      <w:pPr>
        <w:pStyle w:val="ListParagraph"/>
        <w:numPr>
          <w:ilvl w:val="0"/>
          <w:numId w:val="6"/>
        </w:numPr>
        <w:spacing w:before="120" w:after="120"/>
        <w:jc w:val="both"/>
        <w:rPr>
          <w:rFonts w:ascii="Arial" w:hAnsi="Arial" w:cs="Arial"/>
        </w:rPr>
      </w:pPr>
      <w:r w:rsidRPr="00E3482A">
        <w:rPr>
          <w:rFonts w:ascii="Arial" w:hAnsi="Arial" w:cs="Arial"/>
        </w:rPr>
        <w:t>Laboratories dealing with TB specimens</w:t>
      </w:r>
    </w:p>
    <w:p w14:paraId="02888F22" w14:textId="1B50FEA0" w:rsidR="00E3482A" w:rsidRPr="00E3482A" w:rsidRDefault="00E3482A" w:rsidP="00E3482A">
      <w:pPr>
        <w:pStyle w:val="ListParagraph"/>
        <w:numPr>
          <w:ilvl w:val="0"/>
          <w:numId w:val="6"/>
        </w:numPr>
        <w:spacing w:before="120" w:after="120"/>
        <w:jc w:val="both"/>
        <w:rPr>
          <w:rFonts w:ascii="Arial" w:hAnsi="Arial" w:cs="Arial"/>
        </w:rPr>
      </w:pPr>
      <w:r w:rsidRPr="00E3482A">
        <w:rPr>
          <w:rFonts w:ascii="Arial" w:hAnsi="Arial" w:cs="Arial"/>
        </w:rPr>
        <w:t>Mortuary and Post-mortems</w:t>
      </w:r>
    </w:p>
    <w:p w14:paraId="7B95E5D7" w14:textId="46C82A6E" w:rsidR="00E3482A" w:rsidRDefault="00E3482A" w:rsidP="00E3482A">
      <w:pPr>
        <w:pStyle w:val="ListParagraph"/>
        <w:numPr>
          <w:ilvl w:val="0"/>
          <w:numId w:val="6"/>
        </w:numPr>
        <w:spacing w:before="120" w:after="120"/>
        <w:jc w:val="both"/>
        <w:rPr>
          <w:rFonts w:ascii="Arial" w:hAnsi="Arial" w:cs="Arial"/>
        </w:rPr>
      </w:pPr>
      <w:r w:rsidRPr="00E3482A">
        <w:rPr>
          <w:rFonts w:ascii="Arial" w:hAnsi="Arial" w:cs="Arial"/>
        </w:rPr>
        <w:t xml:space="preserve">Bronchoscopy or sputum induction, lung function testing – i.e., </w:t>
      </w:r>
      <w:proofErr w:type="spellStart"/>
      <w:r w:rsidRPr="00E3482A">
        <w:rPr>
          <w:rFonts w:ascii="Arial" w:hAnsi="Arial" w:cs="Arial"/>
        </w:rPr>
        <w:t>aerosolisation</w:t>
      </w:r>
      <w:proofErr w:type="spellEnd"/>
      <w:r w:rsidRPr="00E3482A">
        <w:rPr>
          <w:rFonts w:ascii="Arial" w:hAnsi="Arial" w:cs="Arial"/>
        </w:rPr>
        <w:t xml:space="preserve"> procedures</w:t>
      </w:r>
    </w:p>
    <w:p w14:paraId="36C194F7" w14:textId="77777777" w:rsidR="00BF0394" w:rsidRPr="00E3482A" w:rsidRDefault="00BF0394" w:rsidP="00BF0394">
      <w:pPr>
        <w:spacing w:before="120" w:after="120"/>
        <w:jc w:val="both"/>
        <w:rPr>
          <w:rFonts w:ascii="Arial" w:hAnsi="Arial" w:cs="Arial"/>
        </w:rPr>
      </w:pPr>
      <w:r w:rsidRPr="00E3482A">
        <w:rPr>
          <w:rFonts w:ascii="Arial" w:hAnsi="Arial" w:cs="Arial"/>
        </w:rPr>
        <w:t>It should be noted that the risk of exposure of HCWs other than those listed in the category above is unlikely to exceed the background risk of TB the general population and therefore vaccination is not routinely required.</w:t>
      </w:r>
    </w:p>
    <w:p w14:paraId="64E100F9" w14:textId="4D8CAABF" w:rsidR="001D5005" w:rsidRPr="00E3482A" w:rsidRDefault="001D5005" w:rsidP="00E3482A">
      <w:pPr>
        <w:pStyle w:val="ListParagraph"/>
        <w:spacing w:before="120" w:after="120"/>
        <w:ind w:left="0"/>
        <w:jc w:val="both"/>
        <w:rPr>
          <w:rFonts w:ascii="Arial" w:hAnsi="Arial" w:cs="Arial"/>
        </w:rPr>
      </w:pPr>
      <w:r w:rsidRPr="00E3482A">
        <w:rPr>
          <w:rFonts w:ascii="Arial" w:eastAsia="Times New Roman" w:hAnsi="Arial" w:cs="Arial"/>
          <w:color w:val="000000"/>
          <w:lang w:eastAsia="en-GB"/>
        </w:rPr>
        <w:t xml:space="preserve">Symptoms of TB develop gradually and depend on the organs affected. </w:t>
      </w:r>
    </w:p>
    <w:tbl>
      <w:tblPr>
        <w:tblStyle w:val="TableGrid"/>
        <w:tblW w:w="0" w:type="auto"/>
        <w:tblInd w:w="108" w:type="dxa"/>
        <w:tblLook w:val="04A0" w:firstRow="1" w:lastRow="0" w:firstColumn="1" w:lastColumn="0" w:noHBand="0" w:noVBand="1"/>
      </w:tblPr>
      <w:tblGrid>
        <w:gridCol w:w="8343"/>
        <w:gridCol w:w="644"/>
        <w:gridCol w:w="641"/>
      </w:tblGrid>
      <w:tr w:rsidR="004A519E" w:rsidRPr="003D45C6" w14:paraId="7CDA2EF7" w14:textId="647A84D8" w:rsidTr="00D52BF0">
        <w:tc>
          <w:tcPr>
            <w:tcW w:w="8490" w:type="dxa"/>
            <w:shd w:val="clear" w:color="auto" w:fill="C6D9F1" w:themeFill="text2" w:themeFillTint="33"/>
          </w:tcPr>
          <w:p w14:paraId="565C1E99" w14:textId="1E5C76C2" w:rsidR="004A519E" w:rsidRPr="00E3482A" w:rsidRDefault="004A519E" w:rsidP="002676C6">
            <w:pPr>
              <w:autoSpaceDE w:val="0"/>
              <w:autoSpaceDN w:val="0"/>
              <w:adjustRightInd w:val="0"/>
              <w:rPr>
                <w:rFonts w:ascii="Arial" w:hAnsi="Arial" w:cs="Arial"/>
                <w:b/>
                <w:iCs/>
              </w:rPr>
            </w:pPr>
            <w:r w:rsidRPr="00E3482A">
              <w:rPr>
                <w:rFonts w:ascii="Arial" w:hAnsi="Arial" w:cs="Arial"/>
                <w:b/>
              </w:rPr>
              <w:t xml:space="preserve">Are you experiencing any of the following symptoms? </w:t>
            </w:r>
          </w:p>
        </w:tc>
        <w:tc>
          <w:tcPr>
            <w:tcW w:w="644" w:type="dxa"/>
            <w:shd w:val="clear" w:color="auto" w:fill="C6D9F1" w:themeFill="text2" w:themeFillTint="33"/>
          </w:tcPr>
          <w:p w14:paraId="270EC64D" w14:textId="77777777" w:rsidR="004A519E" w:rsidRPr="003D45C6" w:rsidRDefault="004A519E" w:rsidP="002676C6">
            <w:pPr>
              <w:autoSpaceDE w:val="0"/>
              <w:autoSpaceDN w:val="0"/>
              <w:adjustRightInd w:val="0"/>
              <w:rPr>
                <w:rFonts w:ascii="Arial" w:hAnsi="Arial" w:cs="Arial"/>
                <w:b/>
                <w:sz w:val="24"/>
                <w:szCs w:val="24"/>
              </w:rPr>
            </w:pPr>
            <w:r>
              <w:rPr>
                <w:rFonts w:ascii="Arial" w:hAnsi="Arial" w:cs="Arial"/>
                <w:b/>
                <w:sz w:val="24"/>
                <w:szCs w:val="24"/>
              </w:rPr>
              <w:t>Yes</w:t>
            </w:r>
          </w:p>
        </w:tc>
        <w:tc>
          <w:tcPr>
            <w:tcW w:w="644" w:type="dxa"/>
            <w:shd w:val="clear" w:color="auto" w:fill="C6D9F1" w:themeFill="text2" w:themeFillTint="33"/>
          </w:tcPr>
          <w:p w14:paraId="4B473633" w14:textId="1F45A79C" w:rsidR="004A519E" w:rsidRDefault="004A519E" w:rsidP="002676C6">
            <w:pPr>
              <w:autoSpaceDE w:val="0"/>
              <w:autoSpaceDN w:val="0"/>
              <w:adjustRightInd w:val="0"/>
              <w:rPr>
                <w:rFonts w:ascii="Arial" w:hAnsi="Arial" w:cs="Arial"/>
                <w:b/>
                <w:sz w:val="24"/>
                <w:szCs w:val="24"/>
              </w:rPr>
            </w:pPr>
            <w:r>
              <w:rPr>
                <w:rFonts w:ascii="Arial" w:hAnsi="Arial" w:cs="Arial"/>
                <w:b/>
                <w:sz w:val="24"/>
                <w:szCs w:val="24"/>
              </w:rPr>
              <w:t>No</w:t>
            </w:r>
          </w:p>
        </w:tc>
      </w:tr>
      <w:tr w:rsidR="004A519E" w:rsidRPr="003D45C6" w14:paraId="07308640" w14:textId="05F7134E" w:rsidTr="00D52BF0">
        <w:tc>
          <w:tcPr>
            <w:tcW w:w="8490" w:type="dxa"/>
          </w:tcPr>
          <w:p w14:paraId="5948C65F" w14:textId="36AE3806" w:rsidR="004A519E" w:rsidRPr="00E3482A" w:rsidRDefault="004A519E" w:rsidP="0007529B">
            <w:pPr>
              <w:rPr>
                <w:rFonts w:ascii="Arial" w:hAnsi="Arial" w:cs="Arial"/>
                <w:iCs/>
              </w:rPr>
            </w:pPr>
            <w:r w:rsidRPr="00E3482A">
              <w:rPr>
                <w:rFonts w:ascii="Arial" w:eastAsia="Times New Roman" w:hAnsi="Arial" w:cs="Arial"/>
                <w:color w:val="000000"/>
                <w:shd w:val="clear" w:color="auto" w:fill="F2F2F2" w:themeFill="background1" w:themeFillShade="F2"/>
                <w:lang w:eastAsia="en-GB"/>
              </w:rPr>
              <w:t>Pulmonary TB is the most common and may cause the following symptoms</w:t>
            </w:r>
            <w:r w:rsidRPr="00E3482A">
              <w:rPr>
                <w:rFonts w:ascii="Arial" w:eastAsia="Times New Roman" w:hAnsi="Arial" w:cs="Arial"/>
                <w:color w:val="000000"/>
                <w:lang w:eastAsia="en-GB"/>
              </w:rPr>
              <w:t>:</w:t>
            </w:r>
          </w:p>
        </w:tc>
        <w:tc>
          <w:tcPr>
            <w:tcW w:w="644" w:type="dxa"/>
          </w:tcPr>
          <w:p w14:paraId="57EF021A" w14:textId="77777777" w:rsidR="004A519E" w:rsidRPr="003D45C6" w:rsidRDefault="004A519E" w:rsidP="002676C6">
            <w:pPr>
              <w:autoSpaceDE w:val="0"/>
              <w:autoSpaceDN w:val="0"/>
              <w:adjustRightInd w:val="0"/>
              <w:rPr>
                <w:rFonts w:ascii="Arial" w:hAnsi="Arial" w:cs="Arial"/>
                <w:iCs/>
                <w:sz w:val="24"/>
                <w:szCs w:val="24"/>
              </w:rPr>
            </w:pPr>
          </w:p>
        </w:tc>
        <w:tc>
          <w:tcPr>
            <w:tcW w:w="644" w:type="dxa"/>
          </w:tcPr>
          <w:p w14:paraId="72AC4377" w14:textId="77777777" w:rsidR="004A519E" w:rsidRPr="003D45C6" w:rsidRDefault="004A519E" w:rsidP="002676C6">
            <w:pPr>
              <w:autoSpaceDE w:val="0"/>
              <w:autoSpaceDN w:val="0"/>
              <w:adjustRightInd w:val="0"/>
              <w:rPr>
                <w:rFonts w:ascii="Arial" w:hAnsi="Arial" w:cs="Arial"/>
                <w:iCs/>
                <w:sz w:val="24"/>
                <w:szCs w:val="24"/>
              </w:rPr>
            </w:pPr>
          </w:p>
        </w:tc>
      </w:tr>
      <w:tr w:rsidR="004A519E" w:rsidRPr="003D45C6" w14:paraId="769DD540" w14:textId="55A52BE8" w:rsidTr="00D52BF0">
        <w:tc>
          <w:tcPr>
            <w:tcW w:w="8490" w:type="dxa"/>
          </w:tcPr>
          <w:p w14:paraId="6B9B00D1" w14:textId="54A81060" w:rsidR="004A519E" w:rsidRPr="00E3482A" w:rsidRDefault="004A519E" w:rsidP="0007529B">
            <w:pPr>
              <w:numPr>
                <w:ilvl w:val="0"/>
                <w:numId w:val="2"/>
              </w:numPr>
              <w:tabs>
                <w:tab w:val="left" w:pos="1080"/>
                <w:tab w:val="left" w:pos="1440"/>
              </w:tabs>
              <w:ind w:left="714" w:hanging="357"/>
              <w:rPr>
                <w:rFonts w:ascii="Arial" w:hAnsi="Arial" w:cs="Arial"/>
                <w:iCs/>
              </w:rPr>
            </w:pPr>
            <w:r w:rsidRPr="00E3482A">
              <w:rPr>
                <w:rFonts w:ascii="Arial" w:eastAsia="Times New Roman" w:hAnsi="Arial" w:cs="Arial"/>
                <w:lang w:eastAsia="en-GB"/>
              </w:rPr>
              <w:t>Persistent cough lasting three weeks or more (with or without sputum) (cough at first yellow/green mucus, occasionally blood stained)</w:t>
            </w:r>
          </w:p>
        </w:tc>
        <w:tc>
          <w:tcPr>
            <w:tcW w:w="644" w:type="dxa"/>
          </w:tcPr>
          <w:p w14:paraId="347B3B47" w14:textId="77777777" w:rsidR="004A519E" w:rsidRPr="003D45C6" w:rsidRDefault="004A519E" w:rsidP="002676C6">
            <w:pPr>
              <w:autoSpaceDE w:val="0"/>
              <w:autoSpaceDN w:val="0"/>
              <w:adjustRightInd w:val="0"/>
              <w:rPr>
                <w:rFonts w:ascii="Arial" w:hAnsi="Arial" w:cs="Arial"/>
                <w:iCs/>
                <w:sz w:val="24"/>
                <w:szCs w:val="24"/>
              </w:rPr>
            </w:pPr>
          </w:p>
        </w:tc>
        <w:tc>
          <w:tcPr>
            <w:tcW w:w="644" w:type="dxa"/>
          </w:tcPr>
          <w:p w14:paraId="3C9250E7" w14:textId="77777777" w:rsidR="004A519E" w:rsidRPr="003D45C6" w:rsidRDefault="004A519E" w:rsidP="002676C6">
            <w:pPr>
              <w:autoSpaceDE w:val="0"/>
              <w:autoSpaceDN w:val="0"/>
              <w:adjustRightInd w:val="0"/>
              <w:rPr>
                <w:rFonts w:ascii="Arial" w:hAnsi="Arial" w:cs="Arial"/>
                <w:iCs/>
                <w:sz w:val="24"/>
                <w:szCs w:val="24"/>
              </w:rPr>
            </w:pPr>
          </w:p>
        </w:tc>
      </w:tr>
      <w:tr w:rsidR="004A519E" w:rsidRPr="003D45C6" w14:paraId="24AB6B3F" w14:textId="54367DCA" w:rsidTr="00D52BF0">
        <w:tc>
          <w:tcPr>
            <w:tcW w:w="8490" w:type="dxa"/>
          </w:tcPr>
          <w:p w14:paraId="200AFCE0" w14:textId="01816F70" w:rsidR="004A519E" w:rsidRPr="00E3482A" w:rsidRDefault="004A519E" w:rsidP="0007529B">
            <w:pPr>
              <w:numPr>
                <w:ilvl w:val="0"/>
                <w:numId w:val="2"/>
              </w:numPr>
              <w:tabs>
                <w:tab w:val="left" w:pos="1080"/>
                <w:tab w:val="left" w:pos="1440"/>
              </w:tabs>
              <w:ind w:left="714" w:hanging="357"/>
              <w:rPr>
                <w:rFonts w:ascii="Arial" w:hAnsi="Arial" w:cs="Arial"/>
                <w:iCs/>
              </w:rPr>
            </w:pPr>
            <w:r w:rsidRPr="00E3482A">
              <w:rPr>
                <w:rFonts w:ascii="Arial" w:eastAsia="Times New Roman" w:hAnsi="Arial" w:cs="Arial"/>
                <w:lang w:eastAsia="en-GB"/>
              </w:rPr>
              <w:t>Pain in the chest</w:t>
            </w:r>
          </w:p>
        </w:tc>
        <w:tc>
          <w:tcPr>
            <w:tcW w:w="644" w:type="dxa"/>
          </w:tcPr>
          <w:p w14:paraId="6093E455" w14:textId="77777777" w:rsidR="004A519E" w:rsidRPr="003D45C6" w:rsidRDefault="004A519E" w:rsidP="002676C6">
            <w:pPr>
              <w:autoSpaceDE w:val="0"/>
              <w:autoSpaceDN w:val="0"/>
              <w:adjustRightInd w:val="0"/>
              <w:rPr>
                <w:rFonts w:ascii="Arial" w:hAnsi="Arial" w:cs="Arial"/>
                <w:iCs/>
                <w:sz w:val="24"/>
                <w:szCs w:val="24"/>
              </w:rPr>
            </w:pPr>
          </w:p>
        </w:tc>
        <w:tc>
          <w:tcPr>
            <w:tcW w:w="644" w:type="dxa"/>
          </w:tcPr>
          <w:p w14:paraId="4984A059" w14:textId="77777777" w:rsidR="004A519E" w:rsidRPr="003D45C6" w:rsidRDefault="004A519E" w:rsidP="002676C6">
            <w:pPr>
              <w:autoSpaceDE w:val="0"/>
              <w:autoSpaceDN w:val="0"/>
              <w:adjustRightInd w:val="0"/>
              <w:rPr>
                <w:rFonts w:ascii="Arial" w:hAnsi="Arial" w:cs="Arial"/>
                <w:iCs/>
                <w:sz w:val="24"/>
                <w:szCs w:val="24"/>
              </w:rPr>
            </w:pPr>
          </w:p>
        </w:tc>
      </w:tr>
      <w:tr w:rsidR="004A519E" w:rsidRPr="003D45C6" w14:paraId="25A4429D" w14:textId="00085ABD" w:rsidTr="00D52BF0">
        <w:tc>
          <w:tcPr>
            <w:tcW w:w="8490" w:type="dxa"/>
            <w:shd w:val="clear" w:color="auto" w:fill="F2F2F2" w:themeFill="background1" w:themeFillShade="F2"/>
          </w:tcPr>
          <w:p w14:paraId="5F3E059C" w14:textId="1C7EB29E" w:rsidR="004A519E" w:rsidRPr="00E3482A" w:rsidRDefault="004A519E" w:rsidP="0007529B">
            <w:pPr>
              <w:tabs>
                <w:tab w:val="left" w:pos="720"/>
                <w:tab w:val="left" w:pos="1080"/>
              </w:tabs>
              <w:jc w:val="both"/>
              <w:rPr>
                <w:rFonts w:ascii="Arial" w:hAnsi="Arial" w:cs="Arial"/>
                <w:iCs/>
              </w:rPr>
            </w:pPr>
            <w:r w:rsidRPr="00E3482A">
              <w:rPr>
                <w:rFonts w:ascii="Arial" w:eastAsia="Times New Roman" w:hAnsi="Arial" w:cs="Arial"/>
                <w:lang w:eastAsia="en-GB"/>
              </w:rPr>
              <w:t>Shortness of breath General symptoms of TB disease include:</w:t>
            </w:r>
          </w:p>
        </w:tc>
        <w:tc>
          <w:tcPr>
            <w:tcW w:w="644" w:type="dxa"/>
          </w:tcPr>
          <w:p w14:paraId="696A1493" w14:textId="77777777" w:rsidR="004A519E" w:rsidRPr="003D45C6" w:rsidRDefault="004A519E" w:rsidP="002676C6">
            <w:pPr>
              <w:autoSpaceDE w:val="0"/>
              <w:autoSpaceDN w:val="0"/>
              <w:adjustRightInd w:val="0"/>
              <w:rPr>
                <w:rFonts w:ascii="Arial" w:hAnsi="Arial" w:cs="Arial"/>
                <w:iCs/>
                <w:sz w:val="24"/>
                <w:szCs w:val="24"/>
              </w:rPr>
            </w:pPr>
          </w:p>
        </w:tc>
        <w:tc>
          <w:tcPr>
            <w:tcW w:w="644" w:type="dxa"/>
          </w:tcPr>
          <w:p w14:paraId="5B8DC76B" w14:textId="77777777" w:rsidR="004A519E" w:rsidRPr="003D45C6" w:rsidRDefault="004A519E" w:rsidP="002676C6">
            <w:pPr>
              <w:autoSpaceDE w:val="0"/>
              <w:autoSpaceDN w:val="0"/>
              <w:adjustRightInd w:val="0"/>
              <w:rPr>
                <w:rFonts w:ascii="Arial" w:hAnsi="Arial" w:cs="Arial"/>
                <w:iCs/>
                <w:sz w:val="24"/>
                <w:szCs w:val="24"/>
              </w:rPr>
            </w:pPr>
          </w:p>
        </w:tc>
      </w:tr>
      <w:tr w:rsidR="004A519E" w:rsidRPr="003D45C6" w14:paraId="766F354B" w14:textId="69284E01" w:rsidTr="00D52BF0">
        <w:tc>
          <w:tcPr>
            <w:tcW w:w="8490" w:type="dxa"/>
          </w:tcPr>
          <w:p w14:paraId="299C5A80" w14:textId="6C41B039" w:rsidR="004A519E" w:rsidRPr="00E3482A" w:rsidRDefault="004A519E" w:rsidP="0007529B">
            <w:pPr>
              <w:numPr>
                <w:ilvl w:val="0"/>
                <w:numId w:val="3"/>
              </w:numPr>
              <w:jc w:val="both"/>
              <w:rPr>
                <w:rFonts w:ascii="Arial" w:hAnsi="Arial" w:cs="Arial"/>
                <w:iCs/>
              </w:rPr>
            </w:pPr>
            <w:r w:rsidRPr="00E3482A">
              <w:rPr>
                <w:rFonts w:ascii="Arial" w:eastAsia="Times New Roman" w:hAnsi="Arial" w:cs="Arial"/>
                <w:lang w:eastAsia="en-GB"/>
              </w:rPr>
              <w:t>Unexplained weight loss (often dramatic)</w:t>
            </w:r>
          </w:p>
        </w:tc>
        <w:tc>
          <w:tcPr>
            <w:tcW w:w="644" w:type="dxa"/>
          </w:tcPr>
          <w:p w14:paraId="6E48B5B1" w14:textId="77777777" w:rsidR="004A519E" w:rsidRPr="003D45C6" w:rsidRDefault="004A519E" w:rsidP="002676C6">
            <w:pPr>
              <w:autoSpaceDE w:val="0"/>
              <w:autoSpaceDN w:val="0"/>
              <w:adjustRightInd w:val="0"/>
              <w:rPr>
                <w:rFonts w:ascii="Arial" w:hAnsi="Arial" w:cs="Arial"/>
                <w:iCs/>
                <w:sz w:val="24"/>
                <w:szCs w:val="24"/>
              </w:rPr>
            </w:pPr>
          </w:p>
        </w:tc>
        <w:tc>
          <w:tcPr>
            <w:tcW w:w="644" w:type="dxa"/>
          </w:tcPr>
          <w:p w14:paraId="4A4566B0" w14:textId="77777777" w:rsidR="004A519E" w:rsidRPr="003D45C6" w:rsidRDefault="004A519E" w:rsidP="002676C6">
            <w:pPr>
              <w:autoSpaceDE w:val="0"/>
              <w:autoSpaceDN w:val="0"/>
              <w:adjustRightInd w:val="0"/>
              <w:rPr>
                <w:rFonts w:ascii="Arial" w:hAnsi="Arial" w:cs="Arial"/>
                <w:iCs/>
                <w:sz w:val="24"/>
                <w:szCs w:val="24"/>
              </w:rPr>
            </w:pPr>
          </w:p>
        </w:tc>
      </w:tr>
      <w:tr w:rsidR="004A519E" w:rsidRPr="003D45C6" w14:paraId="701C27B7" w14:textId="63813E1C" w:rsidTr="00D52BF0">
        <w:tc>
          <w:tcPr>
            <w:tcW w:w="8490" w:type="dxa"/>
          </w:tcPr>
          <w:p w14:paraId="235C70F7" w14:textId="34DF0EA5" w:rsidR="004A519E" w:rsidRPr="00E3482A" w:rsidRDefault="004A519E" w:rsidP="0007529B">
            <w:pPr>
              <w:numPr>
                <w:ilvl w:val="0"/>
                <w:numId w:val="3"/>
              </w:numPr>
              <w:jc w:val="both"/>
              <w:rPr>
                <w:rFonts w:ascii="Arial" w:hAnsi="Arial" w:cs="Arial"/>
                <w:iCs/>
              </w:rPr>
            </w:pPr>
            <w:r w:rsidRPr="00E3482A">
              <w:rPr>
                <w:rFonts w:ascii="Arial" w:eastAsia="Times New Roman" w:hAnsi="Arial" w:cs="Arial"/>
                <w:lang w:eastAsia="en-GB"/>
              </w:rPr>
              <w:t>Fever (for about 2 weeks)</w:t>
            </w:r>
          </w:p>
        </w:tc>
        <w:tc>
          <w:tcPr>
            <w:tcW w:w="644" w:type="dxa"/>
          </w:tcPr>
          <w:p w14:paraId="2C666ACE" w14:textId="77777777" w:rsidR="004A519E" w:rsidRPr="003D45C6" w:rsidRDefault="004A519E" w:rsidP="002676C6">
            <w:pPr>
              <w:autoSpaceDE w:val="0"/>
              <w:autoSpaceDN w:val="0"/>
              <w:adjustRightInd w:val="0"/>
              <w:rPr>
                <w:rFonts w:ascii="Arial" w:hAnsi="Arial" w:cs="Arial"/>
                <w:iCs/>
                <w:sz w:val="24"/>
                <w:szCs w:val="24"/>
              </w:rPr>
            </w:pPr>
          </w:p>
        </w:tc>
        <w:tc>
          <w:tcPr>
            <w:tcW w:w="644" w:type="dxa"/>
          </w:tcPr>
          <w:p w14:paraId="70389FA5" w14:textId="77777777" w:rsidR="004A519E" w:rsidRPr="003D45C6" w:rsidRDefault="004A519E" w:rsidP="002676C6">
            <w:pPr>
              <w:autoSpaceDE w:val="0"/>
              <w:autoSpaceDN w:val="0"/>
              <w:adjustRightInd w:val="0"/>
              <w:rPr>
                <w:rFonts w:ascii="Arial" w:hAnsi="Arial" w:cs="Arial"/>
                <w:iCs/>
                <w:sz w:val="24"/>
                <w:szCs w:val="24"/>
              </w:rPr>
            </w:pPr>
          </w:p>
        </w:tc>
      </w:tr>
      <w:tr w:rsidR="004A519E" w:rsidRPr="003D45C6" w14:paraId="4AC0258D" w14:textId="47517739" w:rsidTr="00D52BF0">
        <w:tc>
          <w:tcPr>
            <w:tcW w:w="8490" w:type="dxa"/>
          </w:tcPr>
          <w:p w14:paraId="032C913E" w14:textId="29C2E52F" w:rsidR="004A519E" w:rsidRPr="00E3482A" w:rsidRDefault="004A519E" w:rsidP="0007529B">
            <w:pPr>
              <w:numPr>
                <w:ilvl w:val="0"/>
                <w:numId w:val="3"/>
              </w:numPr>
              <w:jc w:val="both"/>
              <w:rPr>
                <w:rFonts w:ascii="Arial" w:hAnsi="Arial" w:cs="Arial"/>
                <w:iCs/>
              </w:rPr>
            </w:pPr>
            <w:r w:rsidRPr="00E3482A">
              <w:rPr>
                <w:rFonts w:ascii="Arial" w:eastAsia="Times New Roman" w:hAnsi="Arial" w:cs="Arial"/>
                <w:lang w:eastAsia="en-GB"/>
              </w:rPr>
              <w:t>Night sweats</w:t>
            </w:r>
          </w:p>
        </w:tc>
        <w:tc>
          <w:tcPr>
            <w:tcW w:w="644" w:type="dxa"/>
          </w:tcPr>
          <w:p w14:paraId="5FCCB171" w14:textId="77777777" w:rsidR="004A519E" w:rsidRPr="003D45C6" w:rsidRDefault="004A519E" w:rsidP="002676C6">
            <w:pPr>
              <w:autoSpaceDE w:val="0"/>
              <w:autoSpaceDN w:val="0"/>
              <w:adjustRightInd w:val="0"/>
              <w:rPr>
                <w:rFonts w:ascii="Arial" w:hAnsi="Arial" w:cs="Arial"/>
                <w:iCs/>
                <w:sz w:val="24"/>
                <w:szCs w:val="24"/>
              </w:rPr>
            </w:pPr>
          </w:p>
        </w:tc>
        <w:tc>
          <w:tcPr>
            <w:tcW w:w="644" w:type="dxa"/>
          </w:tcPr>
          <w:p w14:paraId="1B57B055" w14:textId="77777777" w:rsidR="004A519E" w:rsidRPr="003D45C6" w:rsidRDefault="004A519E" w:rsidP="002676C6">
            <w:pPr>
              <w:autoSpaceDE w:val="0"/>
              <w:autoSpaceDN w:val="0"/>
              <w:adjustRightInd w:val="0"/>
              <w:rPr>
                <w:rFonts w:ascii="Arial" w:hAnsi="Arial" w:cs="Arial"/>
                <w:iCs/>
                <w:sz w:val="24"/>
                <w:szCs w:val="24"/>
              </w:rPr>
            </w:pPr>
          </w:p>
        </w:tc>
      </w:tr>
      <w:tr w:rsidR="004A519E" w14:paraId="07B23FDE" w14:textId="0E147291" w:rsidTr="00D52BF0">
        <w:tc>
          <w:tcPr>
            <w:tcW w:w="8490" w:type="dxa"/>
          </w:tcPr>
          <w:p w14:paraId="486D7979" w14:textId="62531E6B" w:rsidR="004A519E" w:rsidRPr="00E3482A" w:rsidRDefault="004A519E" w:rsidP="0007529B">
            <w:pPr>
              <w:numPr>
                <w:ilvl w:val="0"/>
                <w:numId w:val="3"/>
              </w:numPr>
              <w:tabs>
                <w:tab w:val="left" w:pos="1080"/>
                <w:tab w:val="left" w:pos="1440"/>
              </w:tabs>
              <w:rPr>
                <w:rFonts w:ascii="Arial" w:hAnsi="Arial" w:cs="Arial"/>
                <w:iCs/>
              </w:rPr>
            </w:pPr>
            <w:r w:rsidRPr="00E3482A">
              <w:rPr>
                <w:rFonts w:ascii="Arial" w:eastAsia="Times New Roman" w:hAnsi="Arial" w:cs="Arial"/>
                <w:lang w:eastAsia="en-GB"/>
              </w:rPr>
              <w:t>Tiredness/ weakness</w:t>
            </w:r>
          </w:p>
        </w:tc>
        <w:tc>
          <w:tcPr>
            <w:tcW w:w="644" w:type="dxa"/>
          </w:tcPr>
          <w:p w14:paraId="2AD9FC56" w14:textId="77777777" w:rsidR="004A519E" w:rsidRDefault="004A519E" w:rsidP="002676C6">
            <w:pPr>
              <w:autoSpaceDE w:val="0"/>
              <w:autoSpaceDN w:val="0"/>
              <w:adjustRightInd w:val="0"/>
              <w:rPr>
                <w:rFonts w:ascii="Arial" w:hAnsi="Arial" w:cs="Arial"/>
                <w:iCs/>
                <w:sz w:val="24"/>
                <w:szCs w:val="24"/>
              </w:rPr>
            </w:pPr>
          </w:p>
        </w:tc>
        <w:tc>
          <w:tcPr>
            <w:tcW w:w="644" w:type="dxa"/>
          </w:tcPr>
          <w:p w14:paraId="417BD54E" w14:textId="77777777" w:rsidR="004A519E" w:rsidRDefault="004A519E" w:rsidP="002676C6">
            <w:pPr>
              <w:autoSpaceDE w:val="0"/>
              <w:autoSpaceDN w:val="0"/>
              <w:adjustRightInd w:val="0"/>
              <w:rPr>
                <w:rFonts w:ascii="Arial" w:hAnsi="Arial" w:cs="Arial"/>
                <w:iCs/>
                <w:sz w:val="24"/>
                <w:szCs w:val="24"/>
              </w:rPr>
            </w:pPr>
          </w:p>
        </w:tc>
      </w:tr>
      <w:tr w:rsidR="004A519E" w14:paraId="5964B6FE" w14:textId="46B2E6C1" w:rsidTr="00D52BF0">
        <w:tc>
          <w:tcPr>
            <w:tcW w:w="8490" w:type="dxa"/>
          </w:tcPr>
          <w:p w14:paraId="4B90391E" w14:textId="4CA49E20" w:rsidR="004A519E" w:rsidRPr="00E3482A" w:rsidRDefault="004A519E" w:rsidP="0007529B">
            <w:pPr>
              <w:numPr>
                <w:ilvl w:val="0"/>
                <w:numId w:val="3"/>
              </w:numPr>
              <w:tabs>
                <w:tab w:val="left" w:pos="1080"/>
                <w:tab w:val="left" w:pos="1440"/>
              </w:tabs>
              <w:rPr>
                <w:rFonts w:ascii="Arial" w:eastAsia="Times New Roman" w:hAnsi="Arial" w:cs="Arial"/>
                <w:lang w:eastAsia="en-GB"/>
              </w:rPr>
            </w:pPr>
            <w:r w:rsidRPr="00E3482A">
              <w:rPr>
                <w:rFonts w:ascii="Arial" w:eastAsia="Times New Roman" w:hAnsi="Arial" w:cs="Arial"/>
                <w:lang w:eastAsia="en-GB"/>
              </w:rPr>
              <w:t>Loss of appetite</w:t>
            </w:r>
          </w:p>
        </w:tc>
        <w:tc>
          <w:tcPr>
            <w:tcW w:w="644" w:type="dxa"/>
          </w:tcPr>
          <w:p w14:paraId="76EC1168" w14:textId="77777777" w:rsidR="004A519E" w:rsidRDefault="004A519E" w:rsidP="002676C6">
            <w:pPr>
              <w:autoSpaceDE w:val="0"/>
              <w:autoSpaceDN w:val="0"/>
              <w:adjustRightInd w:val="0"/>
              <w:rPr>
                <w:rFonts w:ascii="Arial" w:hAnsi="Arial" w:cs="Arial"/>
                <w:iCs/>
                <w:sz w:val="24"/>
                <w:szCs w:val="24"/>
              </w:rPr>
            </w:pPr>
          </w:p>
        </w:tc>
        <w:tc>
          <w:tcPr>
            <w:tcW w:w="644" w:type="dxa"/>
          </w:tcPr>
          <w:p w14:paraId="584B56A6" w14:textId="77777777" w:rsidR="004A519E" w:rsidRDefault="004A519E" w:rsidP="002676C6">
            <w:pPr>
              <w:autoSpaceDE w:val="0"/>
              <w:autoSpaceDN w:val="0"/>
              <w:adjustRightInd w:val="0"/>
              <w:rPr>
                <w:rFonts w:ascii="Arial" w:hAnsi="Arial" w:cs="Arial"/>
                <w:iCs/>
                <w:sz w:val="24"/>
                <w:szCs w:val="24"/>
              </w:rPr>
            </w:pPr>
          </w:p>
        </w:tc>
      </w:tr>
      <w:tr w:rsidR="004A519E" w14:paraId="68D48EA3" w14:textId="5D4804A8" w:rsidTr="00D52BF0">
        <w:tc>
          <w:tcPr>
            <w:tcW w:w="8490" w:type="dxa"/>
            <w:shd w:val="clear" w:color="auto" w:fill="F2F2F2" w:themeFill="background1" w:themeFillShade="F2"/>
          </w:tcPr>
          <w:p w14:paraId="31C233F9" w14:textId="5D7215E3" w:rsidR="004A519E" w:rsidRPr="00E3482A" w:rsidRDefault="004A519E" w:rsidP="0007529B">
            <w:pPr>
              <w:widowControl w:val="0"/>
              <w:tabs>
                <w:tab w:val="left" w:pos="720"/>
                <w:tab w:val="left" w:pos="1080"/>
                <w:tab w:val="left" w:pos="1440"/>
              </w:tabs>
              <w:autoSpaceDE w:val="0"/>
              <w:autoSpaceDN w:val="0"/>
              <w:adjustRightInd w:val="0"/>
              <w:rPr>
                <w:rFonts w:ascii="Arial" w:eastAsia="Times New Roman" w:hAnsi="Arial" w:cs="Arial"/>
                <w:lang w:eastAsia="en-GB"/>
              </w:rPr>
            </w:pPr>
            <w:r w:rsidRPr="00E3482A">
              <w:rPr>
                <w:rFonts w:ascii="Arial" w:eastAsia="Times New Roman" w:hAnsi="Arial" w:cs="Arial"/>
                <w:color w:val="000000"/>
                <w:lang w:eastAsia="en-GB"/>
              </w:rPr>
              <w:t>The symptoms of extra pulmonary TB depend on the part of the body that is affected by the disease, for example:</w:t>
            </w:r>
          </w:p>
        </w:tc>
        <w:tc>
          <w:tcPr>
            <w:tcW w:w="644" w:type="dxa"/>
          </w:tcPr>
          <w:p w14:paraId="0250979A" w14:textId="77777777" w:rsidR="004A519E" w:rsidRDefault="004A519E" w:rsidP="002676C6">
            <w:pPr>
              <w:autoSpaceDE w:val="0"/>
              <w:autoSpaceDN w:val="0"/>
              <w:adjustRightInd w:val="0"/>
              <w:rPr>
                <w:rFonts w:ascii="Arial" w:hAnsi="Arial" w:cs="Arial"/>
                <w:iCs/>
                <w:sz w:val="24"/>
                <w:szCs w:val="24"/>
              </w:rPr>
            </w:pPr>
          </w:p>
        </w:tc>
        <w:tc>
          <w:tcPr>
            <w:tcW w:w="644" w:type="dxa"/>
          </w:tcPr>
          <w:p w14:paraId="2EE77F84" w14:textId="77777777" w:rsidR="004A519E" w:rsidRDefault="004A519E" w:rsidP="002676C6">
            <w:pPr>
              <w:autoSpaceDE w:val="0"/>
              <w:autoSpaceDN w:val="0"/>
              <w:adjustRightInd w:val="0"/>
              <w:rPr>
                <w:rFonts w:ascii="Arial" w:hAnsi="Arial" w:cs="Arial"/>
                <w:iCs/>
                <w:sz w:val="24"/>
                <w:szCs w:val="24"/>
              </w:rPr>
            </w:pPr>
          </w:p>
        </w:tc>
      </w:tr>
      <w:tr w:rsidR="004A519E" w14:paraId="2DF4D1F0" w14:textId="0213C6AB" w:rsidTr="00D52BF0">
        <w:tc>
          <w:tcPr>
            <w:tcW w:w="8490" w:type="dxa"/>
          </w:tcPr>
          <w:p w14:paraId="0CFC8A7B" w14:textId="27EA767E" w:rsidR="004A519E" w:rsidRPr="00E3482A" w:rsidRDefault="004A519E" w:rsidP="0007529B">
            <w:pPr>
              <w:numPr>
                <w:ilvl w:val="0"/>
                <w:numId w:val="4"/>
              </w:numPr>
              <w:tabs>
                <w:tab w:val="left" w:pos="1080"/>
                <w:tab w:val="left" w:pos="1440"/>
              </w:tabs>
              <w:rPr>
                <w:rFonts w:ascii="Arial" w:eastAsia="Times New Roman" w:hAnsi="Arial" w:cs="Arial"/>
                <w:lang w:eastAsia="en-GB"/>
              </w:rPr>
            </w:pPr>
            <w:r w:rsidRPr="00E3482A">
              <w:rPr>
                <w:rFonts w:ascii="Arial" w:eastAsia="Times New Roman" w:hAnsi="Arial" w:cs="Arial"/>
                <w:lang w:eastAsia="en-GB"/>
              </w:rPr>
              <w:t>Hoarseness/laryngitis</w:t>
            </w:r>
          </w:p>
        </w:tc>
        <w:tc>
          <w:tcPr>
            <w:tcW w:w="644" w:type="dxa"/>
          </w:tcPr>
          <w:p w14:paraId="4F593FE3" w14:textId="77777777" w:rsidR="004A519E" w:rsidRDefault="004A519E" w:rsidP="002676C6">
            <w:pPr>
              <w:autoSpaceDE w:val="0"/>
              <w:autoSpaceDN w:val="0"/>
              <w:adjustRightInd w:val="0"/>
              <w:rPr>
                <w:rFonts w:ascii="Arial" w:hAnsi="Arial" w:cs="Arial"/>
                <w:iCs/>
                <w:sz w:val="24"/>
                <w:szCs w:val="24"/>
              </w:rPr>
            </w:pPr>
          </w:p>
        </w:tc>
        <w:tc>
          <w:tcPr>
            <w:tcW w:w="644" w:type="dxa"/>
          </w:tcPr>
          <w:p w14:paraId="4BB94E2F" w14:textId="77777777" w:rsidR="004A519E" w:rsidRDefault="004A519E" w:rsidP="002676C6">
            <w:pPr>
              <w:autoSpaceDE w:val="0"/>
              <w:autoSpaceDN w:val="0"/>
              <w:adjustRightInd w:val="0"/>
              <w:rPr>
                <w:rFonts w:ascii="Arial" w:hAnsi="Arial" w:cs="Arial"/>
                <w:iCs/>
                <w:sz w:val="24"/>
                <w:szCs w:val="24"/>
              </w:rPr>
            </w:pPr>
          </w:p>
        </w:tc>
      </w:tr>
      <w:tr w:rsidR="004A519E" w14:paraId="4F253CDB" w14:textId="1EF94688" w:rsidTr="00D52BF0">
        <w:tc>
          <w:tcPr>
            <w:tcW w:w="8490" w:type="dxa"/>
          </w:tcPr>
          <w:p w14:paraId="2B94BDF2" w14:textId="68D07EC9" w:rsidR="004A519E" w:rsidRPr="00E3482A" w:rsidRDefault="004A519E" w:rsidP="0007529B">
            <w:pPr>
              <w:numPr>
                <w:ilvl w:val="0"/>
                <w:numId w:val="4"/>
              </w:numPr>
              <w:tabs>
                <w:tab w:val="left" w:pos="1080"/>
                <w:tab w:val="left" w:pos="1440"/>
              </w:tabs>
              <w:rPr>
                <w:rFonts w:ascii="Arial" w:eastAsia="Times New Roman" w:hAnsi="Arial" w:cs="Arial"/>
                <w:lang w:eastAsia="en-GB"/>
              </w:rPr>
            </w:pPr>
            <w:r w:rsidRPr="00E3482A">
              <w:rPr>
                <w:rFonts w:ascii="Arial" w:eastAsia="Times New Roman" w:hAnsi="Arial" w:cs="Arial"/>
                <w:lang w:eastAsia="en-GB"/>
              </w:rPr>
              <w:t>Swollen glands</w:t>
            </w:r>
          </w:p>
        </w:tc>
        <w:tc>
          <w:tcPr>
            <w:tcW w:w="644" w:type="dxa"/>
          </w:tcPr>
          <w:p w14:paraId="0447BCDE" w14:textId="77777777" w:rsidR="004A519E" w:rsidRDefault="004A519E" w:rsidP="002676C6">
            <w:pPr>
              <w:autoSpaceDE w:val="0"/>
              <w:autoSpaceDN w:val="0"/>
              <w:adjustRightInd w:val="0"/>
              <w:rPr>
                <w:rFonts w:ascii="Arial" w:hAnsi="Arial" w:cs="Arial"/>
                <w:iCs/>
                <w:sz w:val="24"/>
                <w:szCs w:val="24"/>
              </w:rPr>
            </w:pPr>
          </w:p>
        </w:tc>
        <w:tc>
          <w:tcPr>
            <w:tcW w:w="644" w:type="dxa"/>
          </w:tcPr>
          <w:p w14:paraId="5C1397A3" w14:textId="77777777" w:rsidR="004A519E" w:rsidRDefault="004A519E" w:rsidP="002676C6">
            <w:pPr>
              <w:autoSpaceDE w:val="0"/>
              <w:autoSpaceDN w:val="0"/>
              <w:adjustRightInd w:val="0"/>
              <w:rPr>
                <w:rFonts w:ascii="Arial" w:hAnsi="Arial" w:cs="Arial"/>
                <w:iCs/>
                <w:sz w:val="24"/>
                <w:szCs w:val="24"/>
              </w:rPr>
            </w:pPr>
          </w:p>
        </w:tc>
      </w:tr>
      <w:tr w:rsidR="004A519E" w14:paraId="6F345699" w14:textId="76AD25F2" w:rsidTr="00D52BF0">
        <w:tc>
          <w:tcPr>
            <w:tcW w:w="8490" w:type="dxa"/>
          </w:tcPr>
          <w:p w14:paraId="26229E36" w14:textId="219CDC02" w:rsidR="004A519E" w:rsidRPr="00E3482A" w:rsidRDefault="004A519E" w:rsidP="0007529B">
            <w:pPr>
              <w:numPr>
                <w:ilvl w:val="0"/>
                <w:numId w:val="4"/>
              </w:numPr>
              <w:tabs>
                <w:tab w:val="left" w:pos="1080"/>
                <w:tab w:val="left" w:pos="1440"/>
              </w:tabs>
              <w:rPr>
                <w:rFonts w:ascii="Arial" w:eastAsia="Times New Roman" w:hAnsi="Arial" w:cs="Arial"/>
                <w:lang w:eastAsia="en-GB"/>
              </w:rPr>
            </w:pPr>
            <w:r w:rsidRPr="00E3482A">
              <w:rPr>
                <w:rFonts w:ascii="Arial" w:eastAsia="Times New Roman" w:hAnsi="Arial" w:cs="Arial"/>
                <w:lang w:eastAsia="en-GB"/>
              </w:rPr>
              <w:t>Swelling of the joints</w:t>
            </w:r>
          </w:p>
        </w:tc>
        <w:tc>
          <w:tcPr>
            <w:tcW w:w="644" w:type="dxa"/>
          </w:tcPr>
          <w:p w14:paraId="191C56A2" w14:textId="77777777" w:rsidR="004A519E" w:rsidRDefault="004A519E" w:rsidP="002676C6">
            <w:pPr>
              <w:autoSpaceDE w:val="0"/>
              <w:autoSpaceDN w:val="0"/>
              <w:adjustRightInd w:val="0"/>
              <w:rPr>
                <w:rFonts w:ascii="Arial" w:hAnsi="Arial" w:cs="Arial"/>
                <w:iCs/>
                <w:sz w:val="24"/>
                <w:szCs w:val="24"/>
              </w:rPr>
            </w:pPr>
          </w:p>
        </w:tc>
        <w:tc>
          <w:tcPr>
            <w:tcW w:w="644" w:type="dxa"/>
          </w:tcPr>
          <w:p w14:paraId="6B95BE08" w14:textId="77777777" w:rsidR="004A519E" w:rsidRDefault="004A519E" w:rsidP="002676C6">
            <w:pPr>
              <w:autoSpaceDE w:val="0"/>
              <w:autoSpaceDN w:val="0"/>
              <w:adjustRightInd w:val="0"/>
              <w:rPr>
                <w:rFonts w:ascii="Arial" w:hAnsi="Arial" w:cs="Arial"/>
                <w:iCs/>
                <w:sz w:val="24"/>
                <w:szCs w:val="24"/>
              </w:rPr>
            </w:pPr>
          </w:p>
        </w:tc>
      </w:tr>
      <w:tr w:rsidR="004A519E" w14:paraId="0F240162" w14:textId="6AA82254" w:rsidTr="00D52BF0">
        <w:tc>
          <w:tcPr>
            <w:tcW w:w="8490" w:type="dxa"/>
          </w:tcPr>
          <w:p w14:paraId="5FE446E6" w14:textId="19B0FD4A" w:rsidR="004A519E" w:rsidRPr="00E3482A" w:rsidRDefault="004A519E" w:rsidP="0007529B">
            <w:pPr>
              <w:numPr>
                <w:ilvl w:val="0"/>
                <w:numId w:val="4"/>
              </w:numPr>
              <w:tabs>
                <w:tab w:val="left" w:pos="1080"/>
                <w:tab w:val="left" w:pos="1440"/>
              </w:tabs>
              <w:rPr>
                <w:rFonts w:ascii="Arial" w:eastAsia="Times New Roman" w:hAnsi="Arial" w:cs="Arial"/>
                <w:lang w:eastAsia="en-GB"/>
              </w:rPr>
            </w:pPr>
            <w:r w:rsidRPr="00E3482A">
              <w:rPr>
                <w:rFonts w:ascii="Arial" w:eastAsia="Times New Roman" w:hAnsi="Arial" w:cs="Arial"/>
                <w:lang w:eastAsia="en-GB"/>
              </w:rPr>
              <w:t>TB of the spine may cause pain in the back</w:t>
            </w:r>
          </w:p>
        </w:tc>
        <w:tc>
          <w:tcPr>
            <w:tcW w:w="644" w:type="dxa"/>
          </w:tcPr>
          <w:p w14:paraId="5380CC21" w14:textId="77777777" w:rsidR="004A519E" w:rsidRDefault="004A519E" w:rsidP="002676C6">
            <w:pPr>
              <w:autoSpaceDE w:val="0"/>
              <w:autoSpaceDN w:val="0"/>
              <w:adjustRightInd w:val="0"/>
              <w:rPr>
                <w:rFonts w:ascii="Arial" w:hAnsi="Arial" w:cs="Arial"/>
                <w:iCs/>
                <w:sz w:val="24"/>
                <w:szCs w:val="24"/>
              </w:rPr>
            </w:pPr>
          </w:p>
        </w:tc>
        <w:tc>
          <w:tcPr>
            <w:tcW w:w="644" w:type="dxa"/>
          </w:tcPr>
          <w:p w14:paraId="4F39E03C" w14:textId="77777777" w:rsidR="004A519E" w:rsidRDefault="004A519E" w:rsidP="002676C6">
            <w:pPr>
              <w:autoSpaceDE w:val="0"/>
              <w:autoSpaceDN w:val="0"/>
              <w:adjustRightInd w:val="0"/>
              <w:rPr>
                <w:rFonts w:ascii="Arial" w:hAnsi="Arial" w:cs="Arial"/>
                <w:iCs/>
                <w:sz w:val="24"/>
                <w:szCs w:val="24"/>
              </w:rPr>
            </w:pPr>
          </w:p>
        </w:tc>
      </w:tr>
      <w:tr w:rsidR="004A519E" w14:paraId="72B53725" w14:textId="7A5C30F7" w:rsidTr="00D52BF0">
        <w:tc>
          <w:tcPr>
            <w:tcW w:w="8490" w:type="dxa"/>
          </w:tcPr>
          <w:p w14:paraId="17613809" w14:textId="35F1BB14" w:rsidR="004A519E" w:rsidRPr="00E3482A" w:rsidRDefault="004A519E" w:rsidP="0007529B">
            <w:pPr>
              <w:numPr>
                <w:ilvl w:val="0"/>
                <w:numId w:val="4"/>
              </w:numPr>
              <w:tabs>
                <w:tab w:val="left" w:pos="1080"/>
                <w:tab w:val="left" w:pos="1440"/>
              </w:tabs>
              <w:rPr>
                <w:rFonts w:ascii="Arial" w:eastAsia="Times New Roman" w:hAnsi="Arial" w:cs="Arial"/>
                <w:lang w:eastAsia="en-GB"/>
              </w:rPr>
            </w:pPr>
            <w:r w:rsidRPr="00E3482A">
              <w:rPr>
                <w:rFonts w:ascii="Arial" w:eastAsia="Times New Roman" w:hAnsi="Arial" w:cs="Arial"/>
                <w:lang w:eastAsia="en-GB"/>
              </w:rPr>
              <w:t>TB of the kidneys may cause blood in the urine</w:t>
            </w:r>
          </w:p>
        </w:tc>
        <w:tc>
          <w:tcPr>
            <w:tcW w:w="644" w:type="dxa"/>
          </w:tcPr>
          <w:p w14:paraId="07AF7F59" w14:textId="77777777" w:rsidR="004A519E" w:rsidRDefault="004A519E" w:rsidP="002676C6">
            <w:pPr>
              <w:autoSpaceDE w:val="0"/>
              <w:autoSpaceDN w:val="0"/>
              <w:adjustRightInd w:val="0"/>
              <w:rPr>
                <w:rFonts w:ascii="Arial" w:hAnsi="Arial" w:cs="Arial"/>
                <w:iCs/>
                <w:sz w:val="24"/>
                <w:szCs w:val="24"/>
              </w:rPr>
            </w:pPr>
          </w:p>
        </w:tc>
        <w:tc>
          <w:tcPr>
            <w:tcW w:w="644" w:type="dxa"/>
          </w:tcPr>
          <w:p w14:paraId="3DCF6566" w14:textId="77777777" w:rsidR="004A519E" w:rsidRDefault="004A519E" w:rsidP="002676C6">
            <w:pPr>
              <w:autoSpaceDE w:val="0"/>
              <w:autoSpaceDN w:val="0"/>
              <w:adjustRightInd w:val="0"/>
              <w:rPr>
                <w:rFonts w:ascii="Arial" w:hAnsi="Arial" w:cs="Arial"/>
                <w:iCs/>
                <w:sz w:val="24"/>
                <w:szCs w:val="24"/>
              </w:rPr>
            </w:pPr>
          </w:p>
        </w:tc>
      </w:tr>
    </w:tbl>
    <w:p w14:paraId="660B0DFA" w14:textId="5F125FF1" w:rsidR="001D5005" w:rsidRPr="00875323" w:rsidRDefault="001D5005" w:rsidP="00984712">
      <w:pPr>
        <w:tabs>
          <w:tab w:val="left" w:pos="1080"/>
          <w:tab w:val="left" w:pos="1440"/>
        </w:tabs>
        <w:spacing w:after="0" w:line="240" w:lineRule="auto"/>
        <w:ind w:left="714"/>
        <w:rPr>
          <w:rFonts w:ascii="Arial" w:eastAsia="Times New Roman" w:hAnsi="Arial" w:cs="Arial"/>
          <w:sz w:val="24"/>
          <w:szCs w:val="20"/>
          <w:lang w:eastAsia="en-GB"/>
        </w:rPr>
      </w:pPr>
    </w:p>
    <w:p w14:paraId="5124236F" w14:textId="06843A12" w:rsidR="001D5005" w:rsidRPr="001A5BCA" w:rsidRDefault="00C91799" w:rsidP="00E3482A">
      <w:pPr>
        <w:autoSpaceDE w:val="0"/>
        <w:autoSpaceDN w:val="0"/>
        <w:adjustRightInd w:val="0"/>
        <w:spacing w:after="0" w:line="240" w:lineRule="auto"/>
        <w:rPr>
          <w:rFonts w:ascii="Arial" w:hAnsi="Arial" w:cs="Arial"/>
          <w:iCs/>
        </w:rPr>
      </w:pPr>
      <w:r w:rsidRPr="001A5BCA">
        <w:rPr>
          <w:rFonts w:ascii="Arial" w:hAnsi="Arial" w:cs="Arial"/>
          <w:iCs/>
        </w:rPr>
        <w:t xml:space="preserve">If you respond </w:t>
      </w:r>
      <w:r w:rsidR="001A5BCA" w:rsidRPr="001A5BCA">
        <w:rPr>
          <w:rFonts w:ascii="Arial" w:hAnsi="Arial" w:cs="Arial"/>
          <w:b/>
          <w:bCs/>
          <w:iCs/>
        </w:rPr>
        <w:t>`YES`</w:t>
      </w:r>
      <w:r w:rsidRPr="001A5BCA">
        <w:rPr>
          <w:rFonts w:ascii="Arial" w:hAnsi="Arial" w:cs="Arial"/>
          <w:b/>
          <w:bCs/>
          <w:iCs/>
        </w:rPr>
        <w:t xml:space="preserve"> </w:t>
      </w:r>
      <w:r w:rsidRPr="001A5BCA">
        <w:rPr>
          <w:rFonts w:ascii="Arial" w:hAnsi="Arial" w:cs="Arial"/>
          <w:iCs/>
        </w:rPr>
        <w:t>to any of the above questions you need to inform your manager who will complete a referral to Occupational Health and Wellbeing (</w:t>
      </w:r>
      <w:r w:rsidR="008E2CB8" w:rsidRPr="008E2CB8">
        <w:rPr>
          <w:rFonts w:ascii="Arial" w:hAnsi="Arial" w:cs="Arial"/>
          <w:iCs/>
        </w:rPr>
        <w:t>https://auh.cohort.hosting/Cohort10/LogOn.aspx</w:t>
      </w:r>
      <w:r w:rsidRPr="008E2CB8">
        <w:rPr>
          <w:rFonts w:ascii="Arial" w:hAnsi="Arial" w:cs="Arial"/>
          <w:iCs/>
        </w:rPr>
        <w:t>).</w:t>
      </w:r>
      <w:r w:rsidRPr="001A5BCA">
        <w:rPr>
          <w:rFonts w:ascii="Arial" w:hAnsi="Arial" w:cs="Arial"/>
          <w:iCs/>
        </w:rPr>
        <w:t xml:space="preserve"> </w:t>
      </w:r>
    </w:p>
    <w:bookmarkEnd w:id="0"/>
    <w:p w14:paraId="7833102B" w14:textId="77777777" w:rsidR="00317979" w:rsidRPr="00875323" w:rsidRDefault="00317979" w:rsidP="001D5005">
      <w:pPr>
        <w:spacing w:line="240" w:lineRule="auto"/>
        <w:rPr>
          <w:b/>
          <w:sz w:val="24"/>
        </w:rPr>
      </w:pPr>
    </w:p>
    <w:sectPr w:rsidR="00317979" w:rsidRPr="00875323" w:rsidSect="004A519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1C9D" w14:textId="77777777" w:rsidR="00BA0140" w:rsidRDefault="00BA0140" w:rsidP="004A519E">
      <w:pPr>
        <w:spacing w:after="0" w:line="240" w:lineRule="auto"/>
      </w:pPr>
      <w:r>
        <w:separator/>
      </w:r>
    </w:p>
  </w:endnote>
  <w:endnote w:type="continuationSeparator" w:id="0">
    <w:p w14:paraId="6555B675" w14:textId="77777777" w:rsidR="00BA0140" w:rsidRDefault="00BA0140" w:rsidP="004A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5F79" w14:textId="2FBEBCC3" w:rsidR="004A519E" w:rsidRDefault="004A519E">
    <w:pPr>
      <w:pStyle w:val="Footer"/>
    </w:pPr>
    <w:r>
      <w:t xml:space="preserve">Annual </w:t>
    </w:r>
    <w:r w:rsidR="00C25574">
      <w:t xml:space="preserve">TB </w:t>
    </w:r>
    <w:r>
      <w:t>Health Screening V</w:t>
    </w:r>
    <w:r w:rsidR="00C25574">
      <w:t>3</w:t>
    </w:r>
    <w:r w:rsidR="00E3482A">
      <w:t xml:space="preserve"> – 20.01.202</w:t>
    </w:r>
    <w:r w:rsidR="00C25574">
      <w:t>4</w:t>
    </w:r>
    <w:r w:rsidR="00E3482A">
      <w:t xml:space="preserve">                       C&amp;M OH Managers Forum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8084" w14:textId="77777777" w:rsidR="00BA0140" w:rsidRDefault="00BA0140" w:rsidP="004A519E">
      <w:pPr>
        <w:spacing w:after="0" w:line="240" w:lineRule="auto"/>
      </w:pPr>
      <w:r>
        <w:separator/>
      </w:r>
    </w:p>
  </w:footnote>
  <w:footnote w:type="continuationSeparator" w:id="0">
    <w:p w14:paraId="0565E369" w14:textId="77777777" w:rsidR="00BA0140" w:rsidRDefault="00BA0140" w:rsidP="004A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B21E" w14:textId="4246F59E" w:rsidR="008E2CB8" w:rsidRDefault="008E2CB8" w:rsidP="008E2CB8">
    <w:pPr>
      <w:pStyle w:val="Header"/>
      <w:jc w:val="right"/>
    </w:pPr>
    <w:r>
      <w:rPr>
        <w:noProof/>
      </w:rPr>
      <w:drawing>
        <wp:inline distT="0" distB="0" distL="0" distR="0" wp14:anchorId="374984F1" wp14:editId="315E61AC">
          <wp:extent cx="2132215" cy="523702"/>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2215" cy="523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4F2"/>
    <w:multiLevelType w:val="multilevel"/>
    <w:tmpl w:val="59BE65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D2107"/>
    <w:multiLevelType w:val="multilevel"/>
    <w:tmpl w:val="6D5CBE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E01A9"/>
    <w:multiLevelType w:val="multilevel"/>
    <w:tmpl w:val="CE1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C5B83"/>
    <w:multiLevelType w:val="multilevel"/>
    <w:tmpl w:val="CEA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26281"/>
    <w:multiLevelType w:val="hybridMultilevel"/>
    <w:tmpl w:val="7A801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5400CF"/>
    <w:multiLevelType w:val="hybridMultilevel"/>
    <w:tmpl w:val="690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22B80"/>
    <w:multiLevelType w:val="multilevel"/>
    <w:tmpl w:val="F5A8E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6734553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249385450">
    <w:abstractNumId w:val="6"/>
  </w:num>
  <w:num w:numId="3" w16cid:durableId="584608555">
    <w:abstractNumId w:val="1"/>
  </w:num>
  <w:num w:numId="4" w16cid:durableId="1284769624">
    <w:abstractNumId w:val="0"/>
  </w:num>
  <w:num w:numId="5" w16cid:durableId="103040196">
    <w:abstractNumId w:val="5"/>
  </w:num>
  <w:num w:numId="6" w16cid:durableId="1496457178">
    <w:abstractNumId w:val="4"/>
  </w:num>
  <w:num w:numId="7" w16cid:durableId="122899990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79"/>
    <w:rsid w:val="00006A57"/>
    <w:rsid w:val="00067E51"/>
    <w:rsid w:val="0007529B"/>
    <w:rsid w:val="00101F4E"/>
    <w:rsid w:val="00136FD6"/>
    <w:rsid w:val="00187F73"/>
    <w:rsid w:val="00193A0A"/>
    <w:rsid w:val="001A5BCA"/>
    <w:rsid w:val="001D5005"/>
    <w:rsid w:val="001E7BD5"/>
    <w:rsid w:val="00200EAB"/>
    <w:rsid w:val="00257B36"/>
    <w:rsid w:val="002777EA"/>
    <w:rsid w:val="00281407"/>
    <w:rsid w:val="002B1451"/>
    <w:rsid w:val="00317979"/>
    <w:rsid w:val="00397E73"/>
    <w:rsid w:val="004A519E"/>
    <w:rsid w:val="004D1922"/>
    <w:rsid w:val="00520F88"/>
    <w:rsid w:val="0055328E"/>
    <w:rsid w:val="005A4CB6"/>
    <w:rsid w:val="00786506"/>
    <w:rsid w:val="007D2A6A"/>
    <w:rsid w:val="00836492"/>
    <w:rsid w:val="00875323"/>
    <w:rsid w:val="00894B68"/>
    <w:rsid w:val="008E2CB8"/>
    <w:rsid w:val="008F3A34"/>
    <w:rsid w:val="0090418F"/>
    <w:rsid w:val="00966160"/>
    <w:rsid w:val="00984712"/>
    <w:rsid w:val="009C20F8"/>
    <w:rsid w:val="009F02A3"/>
    <w:rsid w:val="00A31F76"/>
    <w:rsid w:val="00A77731"/>
    <w:rsid w:val="00AF1F91"/>
    <w:rsid w:val="00AF7AB8"/>
    <w:rsid w:val="00B9522F"/>
    <w:rsid w:val="00BA0140"/>
    <w:rsid w:val="00BF0394"/>
    <w:rsid w:val="00C17C91"/>
    <w:rsid w:val="00C25574"/>
    <w:rsid w:val="00C421FF"/>
    <w:rsid w:val="00C91799"/>
    <w:rsid w:val="00CF7181"/>
    <w:rsid w:val="00D134C3"/>
    <w:rsid w:val="00E3482A"/>
    <w:rsid w:val="00FE5725"/>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E701"/>
  <w15:docId w15:val="{2632E7BF-A5D1-4774-96A9-7D445A3E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7979"/>
    <w:rPr>
      <w:color w:val="0000FF"/>
      <w:u w:val="single"/>
    </w:rPr>
  </w:style>
  <w:style w:type="character" w:styleId="Strong">
    <w:name w:val="Strong"/>
    <w:basedOn w:val="DefaultParagraphFont"/>
    <w:uiPriority w:val="22"/>
    <w:qFormat/>
    <w:rsid w:val="00317979"/>
    <w:rPr>
      <w:b/>
      <w:bCs/>
    </w:rPr>
  </w:style>
  <w:style w:type="character" w:styleId="Emphasis">
    <w:name w:val="Emphasis"/>
    <w:basedOn w:val="DefaultParagraphFont"/>
    <w:uiPriority w:val="20"/>
    <w:qFormat/>
    <w:rsid w:val="00317979"/>
    <w:rPr>
      <w:i/>
      <w:iCs/>
    </w:rPr>
  </w:style>
  <w:style w:type="table" w:styleId="TableGrid">
    <w:name w:val="Table Grid"/>
    <w:basedOn w:val="TableNormal"/>
    <w:uiPriority w:val="59"/>
    <w:rsid w:val="0019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522F"/>
    <w:pPr>
      <w:ind w:left="720"/>
      <w:contextualSpacing/>
    </w:pPr>
  </w:style>
  <w:style w:type="paragraph" w:styleId="Header">
    <w:name w:val="header"/>
    <w:basedOn w:val="Normal"/>
    <w:link w:val="HeaderChar"/>
    <w:uiPriority w:val="99"/>
    <w:unhideWhenUsed/>
    <w:rsid w:val="004A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19E"/>
  </w:style>
  <w:style w:type="paragraph" w:styleId="Footer">
    <w:name w:val="footer"/>
    <w:basedOn w:val="Normal"/>
    <w:link w:val="FooterChar"/>
    <w:uiPriority w:val="99"/>
    <w:unhideWhenUsed/>
    <w:rsid w:val="004A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19E"/>
  </w:style>
  <w:style w:type="character" w:styleId="CommentReference">
    <w:name w:val="annotation reference"/>
    <w:basedOn w:val="DefaultParagraphFont"/>
    <w:uiPriority w:val="99"/>
    <w:semiHidden/>
    <w:unhideWhenUsed/>
    <w:rsid w:val="00CF7181"/>
    <w:rPr>
      <w:sz w:val="16"/>
      <w:szCs w:val="16"/>
    </w:rPr>
  </w:style>
  <w:style w:type="paragraph" w:styleId="CommentText">
    <w:name w:val="annotation text"/>
    <w:basedOn w:val="Normal"/>
    <w:link w:val="CommentTextChar"/>
    <w:uiPriority w:val="99"/>
    <w:semiHidden/>
    <w:unhideWhenUsed/>
    <w:rsid w:val="00CF7181"/>
    <w:pPr>
      <w:spacing w:line="240" w:lineRule="auto"/>
    </w:pPr>
    <w:rPr>
      <w:sz w:val="20"/>
      <w:szCs w:val="20"/>
    </w:rPr>
  </w:style>
  <w:style w:type="character" w:customStyle="1" w:styleId="CommentTextChar">
    <w:name w:val="Comment Text Char"/>
    <w:basedOn w:val="DefaultParagraphFont"/>
    <w:link w:val="CommentText"/>
    <w:uiPriority w:val="99"/>
    <w:semiHidden/>
    <w:rsid w:val="00CF7181"/>
    <w:rPr>
      <w:sz w:val="20"/>
      <w:szCs w:val="20"/>
    </w:rPr>
  </w:style>
  <w:style w:type="paragraph" w:styleId="CommentSubject">
    <w:name w:val="annotation subject"/>
    <w:basedOn w:val="CommentText"/>
    <w:next w:val="CommentText"/>
    <w:link w:val="CommentSubjectChar"/>
    <w:uiPriority w:val="99"/>
    <w:semiHidden/>
    <w:unhideWhenUsed/>
    <w:rsid w:val="00CF7181"/>
    <w:rPr>
      <w:b/>
      <w:bCs/>
    </w:rPr>
  </w:style>
  <w:style w:type="character" w:customStyle="1" w:styleId="CommentSubjectChar">
    <w:name w:val="Comment Subject Char"/>
    <w:basedOn w:val="CommentTextChar"/>
    <w:link w:val="CommentSubject"/>
    <w:uiPriority w:val="99"/>
    <w:semiHidden/>
    <w:rsid w:val="00CF7181"/>
    <w:rPr>
      <w:b/>
      <w:bCs/>
      <w:sz w:val="20"/>
      <w:szCs w:val="20"/>
    </w:rPr>
  </w:style>
  <w:style w:type="paragraph" w:styleId="Revision">
    <w:name w:val="Revision"/>
    <w:hidden/>
    <w:uiPriority w:val="99"/>
    <w:semiHidden/>
    <w:rsid w:val="00553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2659">
      <w:bodyDiv w:val="1"/>
      <w:marLeft w:val="0"/>
      <w:marRight w:val="0"/>
      <w:marTop w:val="0"/>
      <w:marBottom w:val="0"/>
      <w:divBdr>
        <w:top w:val="none" w:sz="0" w:space="0" w:color="auto"/>
        <w:left w:val="none" w:sz="0" w:space="0" w:color="auto"/>
        <w:bottom w:val="none" w:sz="0" w:space="0" w:color="auto"/>
        <w:right w:val="none" w:sz="0" w:space="0" w:color="auto"/>
      </w:divBdr>
    </w:div>
    <w:div w:id="294993923">
      <w:bodyDiv w:val="1"/>
      <w:marLeft w:val="0"/>
      <w:marRight w:val="0"/>
      <w:marTop w:val="0"/>
      <w:marBottom w:val="0"/>
      <w:divBdr>
        <w:top w:val="none" w:sz="0" w:space="0" w:color="auto"/>
        <w:left w:val="none" w:sz="0" w:space="0" w:color="auto"/>
        <w:bottom w:val="none" w:sz="0" w:space="0" w:color="auto"/>
        <w:right w:val="none" w:sz="0" w:space="0" w:color="auto"/>
      </w:divBdr>
    </w:div>
    <w:div w:id="521866655">
      <w:bodyDiv w:val="1"/>
      <w:marLeft w:val="0"/>
      <w:marRight w:val="0"/>
      <w:marTop w:val="0"/>
      <w:marBottom w:val="0"/>
      <w:divBdr>
        <w:top w:val="none" w:sz="0" w:space="0" w:color="auto"/>
        <w:left w:val="none" w:sz="0" w:space="0" w:color="auto"/>
        <w:bottom w:val="none" w:sz="0" w:space="0" w:color="auto"/>
        <w:right w:val="none" w:sz="0" w:space="0" w:color="auto"/>
      </w:divBdr>
    </w:div>
    <w:div w:id="1806041844">
      <w:bodyDiv w:val="1"/>
      <w:marLeft w:val="0"/>
      <w:marRight w:val="0"/>
      <w:marTop w:val="0"/>
      <w:marBottom w:val="0"/>
      <w:divBdr>
        <w:top w:val="none" w:sz="0" w:space="0" w:color="auto"/>
        <w:left w:val="none" w:sz="0" w:space="0" w:color="auto"/>
        <w:bottom w:val="none" w:sz="0" w:space="0" w:color="auto"/>
        <w:right w:val="none" w:sz="0" w:space="0" w:color="auto"/>
      </w:divBdr>
    </w:div>
    <w:div w:id="19323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3C5B-CDDB-42A4-87A7-11F85F09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Linda</dc:creator>
  <cp:lastModifiedBy>DIANE LEE</cp:lastModifiedBy>
  <cp:revision>4</cp:revision>
  <dcterms:created xsi:type="dcterms:W3CDTF">2024-02-02T15:02:00Z</dcterms:created>
  <dcterms:modified xsi:type="dcterms:W3CDTF">2024-02-02T15:49:00Z</dcterms:modified>
</cp:coreProperties>
</file>