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E2" w:rsidRDefault="00762AE2" w:rsidP="004D088B">
      <w:pPr>
        <w:shd w:val="clear" w:color="auto" w:fill="FFFFFF"/>
        <w:spacing w:after="160"/>
        <w:rPr>
          <w:color w:val="202124"/>
        </w:rPr>
      </w:pPr>
      <w:r>
        <w:rPr>
          <w:noProof/>
          <w:color w:val="202124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3DA85D5" wp14:editId="014D2DAD">
            <wp:simplePos x="0" y="0"/>
            <wp:positionH relativeFrom="column">
              <wp:posOffset>2381250</wp:posOffset>
            </wp:positionH>
            <wp:positionV relativeFrom="paragraph">
              <wp:posOffset>-228600</wp:posOffset>
            </wp:positionV>
            <wp:extent cx="168592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478" y="21497"/>
                <wp:lineTo x="21478" y="0"/>
                <wp:lineTo x="0" y="0"/>
              </wp:wrapPolygon>
            </wp:wrapTight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99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DCC">
        <w:rPr>
          <w:noProof/>
          <w:color w:val="2021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7F4675" wp14:editId="73BEEEC3">
                <wp:simplePos x="0" y="0"/>
                <wp:positionH relativeFrom="column">
                  <wp:posOffset>19050</wp:posOffset>
                </wp:positionH>
                <wp:positionV relativeFrom="paragraph">
                  <wp:posOffset>1495425</wp:posOffset>
                </wp:positionV>
                <wp:extent cx="2257425" cy="781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AE2" w:rsidRPr="00C16AB7" w:rsidRDefault="00762AE2" w:rsidP="00762AE2">
                            <w:pPr>
                              <w:shd w:val="clear" w:color="auto" w:fill="FFFFFF"/>
                              <w:spacing w:before="100" w:beforeAutospacing="1"/>
                              <w:rPr>
                                <w:color w:val="202124"/>
                              </w:rPr>
                            </w:pPr>
                            <w:r>
                              <w:rPr>
                                <w:color w:val="202124"/>
                              </w:rPr>
                              <w:t>For o</w:t>
                            </w:r>
                            <w:r w:rsidRPr="00C16AB7">
                              <w:rPr>
                                <w:color w:val="202124"/>
                              </w:rPr>
                              <w:t>ral / enteral administration</w:t>
                            </w:r>
                            <w:r>
                              <w:rPr>
                                <w:color w:val="202124"/>
                              </w:rPr>
                              <w:t xml:space="preserve"> syringes </w:t>
                            </w:r>
                            <w:r>
                              <w:rPr>
                                <w:color w:val="202124"/>
                              </w:rPr>
                              <w:br/>
                            </w:r>
                            <w:r w:rsidRPr="00C16AB7">
                              <w:rPr>
                                <w:color w:val="202124"/>
                              </w:rPr>
                              <w:t>MUST be</w:t>
                            </w:r>
                            <w:r>
                              <w:rPr>
                                <w:color w:val="202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900FF"/>
                                <w:sz w:val="42"/>
                                <w:szCs w:val="42"/>
                              </w:rPr>
                              <w:t xml:space="preserve">PURPLE </w:t>
                            </w:r>
                          </w:p>
                          <w:p w:rsidR="00762AE2" w:rsidRDefault="00762AE2" w:rsidP="00762A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17.75pt;width:177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">
                <v:textbox>
                  <w:txbxContent>
                    <w:p w:rsidR="00762AE2" w:rsidRPr="00C16AB7" w:rsidRDefault="00762AE2" w:rsidP="00762AE2">
                      <w:pPr>
                        <w:shd w:val="clear" w:color="auto" w:fill="FFFFFF"/>
                        <w:spacing w:before="100" w:beforeAutospacing="1"/>
                        <w:rPr>
                          <w:color w:val="202124"/>
                        </w:rPr>
                      </w:pPr>
                      <w:r>
                        <w:rPr>
                          <w:color w:val="202124"/>
                        </w:rPr>
                        <w:t>For o</w:t>
                      </w:r>
                      <w:r w:rsidRPr="00C16AB7">
                        <w:rPr>
                          <w:color w:val="202124"/>
                        </w:rPr>
                        <w:t>ral / enteral administration</w:t>
                      </w:r>
                      <w:r>
                        <w:rPr>
                          <w:color w:val="202124"/>
                        </w:rPr>
                        <w:t xml:space="preserve"> syringes </w:t>
                      </w:r>
                      <w:r>
                        <w:rPr>
                          <w:color w:val="202124"/>
                        </w:rPr>
                        <w:br/>
                      </w:r>
                      <w:r w:rsidRPr="00C16AB7">
                        <w:rPr>
                          <w:color w:val="202124"/>
                        </w:rPr>
                        <w:t>MUST be</w:t>
                      </w:r>
                      <w:r>
                        <w:rPr>
                          <w:color w:val="2021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9900FF"/>
                          <w:sz w:val="42"/>
                          <w:szCs w:val="42"/>
                        </w:rPr>
                        <w:t xml:space="preserve">PURPLE </w:t>
                      </w:r>
                    </w:p>
                    <w:p w:rsidR="00762AE2" w:rsidRDefault="00762AE2" w:rsidP="00762AE2"/>
                  </w:txbxContent>
                </v:textbox>
              </v:shape>
            </w:pict>
          </mc:Fallback>
        </mc:AlternateContent>
      </w:r>
      <w:r w:rsidRPr="00103DCC">
        <w:rPr>
          <w:noProof/>
        </w:rPr>
        <w:drawing>
          <wp:anchor distT="0" distB="0" distL="114300" distR="114300" simplePos="0" relativeHeight="251673600" behindDoc="1" locked="0" layoutInCell="1" allowOverlap="1" wp14:anchorId="7EDA9D35" wp14:editId="23CDE986">
            <wp:simplePos x="0" y="0"/>
            <wp:positionH relativeFrom="column">
              <wp:posOffset>4143375</wp:posOffset>
            </wp:positionH>
            <wp:positionV relativeFrom="paragraph">
              <wp:posOffset>-200025</wp:posOffset>
            </wp:positionV>
            <wp:extent cx="2085975" cy="1933575"/>
            <wp:effectExtent l="19050" t="19050" r="28575" b="28575"/>
            <wp:wrapTight wrapText="bothSides">
              <wp:wrapPolygon edited="0">
                <wp:start x="-197" y="-213"/>
                <wp:lineTo x="-197" y="21706"/>
                <wp:lineTo x="21699" y="21706"/>
                <wp:lineTo x="21699" y="-213"/>
                <wp:lineTo x="-197" y="-213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9" t="49183"/>
                    <a:stretch/>
                  </pic:blipFill>
                  <pic:spPr bwMode="auto">
                    <a:xfrm>
                      <a:off x="0" y="0"/>
                      <a:ext cx="2085975" cy="193357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DCC">
        <w:rPr>
          <w:noProof/>
          <w:color w:val="202124"/>
        </w:rPr>
        <w:drawing>
          <wp:inline distT="114300" distB="114300" distL="114300" distR="114300" wp14:anchorId="2D84897B" wp14:editId="509AF851">
            <wp:extent cx="2257425" cy="1476375"/>
            <wp:effectExtent l="19050" t="19050" r="28575" b="28575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358" cy="14756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2AE2" w:rsidRDefault="00762AE2" w:rsidP="004D088B">
      <w:pPr>
        <w:shd w:val="clear" w:color="auto" w:fill="FFFFFF"/>
        <w:spacing w:after="160"/>
        <w:rPr>
          <w:color w:val="202124"/>
        </w:rPr>
      </w:pPr>
    </w:p>
    <w:p w:rsidR="00762AE2" w:rsidRDefault="00762AE2" w:rsidP="004D088B">
      <w:pPr>
        <w:shd w:val="clear" w:color="auto" w:fill="FFFFFF"/>
        <w:spacing w:after="160"/>
        <w:rPr>
          <w:color w:val="202124"/>
        </w:rPr>
      </w:pPr>
    </w:p>
    <w:p w:rsidR="00762AE2" w:rsidRDefault="00762AE2" w:rsidP="004D088B">
      <w:pPr>
        <w:shd w:val="clear" w:color="auto" w:fill="FFFFFF"/>
        <w:spacing w:after="160"/>
        <w:rPr>
          <w:color w:val="202124"/>
        </w:rPr>
      </w:pPr>
      <w:r w:rsidRPr="00103DCC">
        <w:rPr>
          <w:noProof/>
          <w:color w:val="2021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9B157" wp14:editId="5754F912">
                <wp:simplePos x="0" y="0"/>
                <wp:positionH relativeFrom="column">
                  <wp:posOffset>19050</wp:posOffset>
                </wp:positionH>
                <wp:positionV relativeFrom="paragraph">
                  <wp:posOffset>139699</wp:posOffset>
                </wp:positionV>
                <wp:extent cx="6315075" cy="1019175"/>
                <wp:effectExtent l="19050" t="1905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AE2" w:rsidRPr="00215BC1" w:rsidRDefault="00762AE2" w:rsidP="00762AE2">
                            <w:pPr>
                              <w:rPr>
                                <w:b/>
                              </w:rPr>
                            </w:pPr>
                            <w:r w:rsidRPr="00215BC1">
                              <w:rPr>
                                <w:b/>
                              </w:rPr>
                              <w:t>STOP / CHALLENGE / REPORT</w:t>
                            </w:r>
                          </w:p>
                          <w:p w:rsidR="00762AE2" w:rsidRDefault="00762AE2" w:rsidP="00762AE2">
                            <w:r>
                              <w:t xml:space="preserve">No oral / enteral medicines should be administered in anything other than a </w:t>
                            </w:r>
                            <w:r w:rsidRPr="003224E8">
                              <w:rPr>
                                <w:b/>
                                <w:color w:val="8064A2" w:themeColor="accent4"/>
                              </w:rPr>
                              <w:t>purple oral/enteral syringe</w:t>
                            </w:r>
                          </w:p>
                          <w:p w:rsidR="00762AE2" w:rsidRPr="004D088B" w:rsidRDefault="00762AE2" w:rsidP="00762AE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unless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the dose </w:t>
                            </w:r>
                            <w:r w:rsidR="00CF5E1F">
                              <w:rPr>
                                <w:i/>
                              </w:rPr>
                              <w:t xml:space="preserve">is </w:t>
                            </w:r>
                            <w:r>
                              <w:rPr>
                                <w:i/>
                              </w:rPr>
                              <w:t xml:space="preserve">in multiples of </w:t>
                            </w:r>
                            <w:r w:rsidRPr="004D088B">
                              <w:rPr>
                                <w:i/>
                              </w:rPr>
                              <w:t xml:space="preserve"> 2.5ml or 5ml</w:t>
                            </w:r>
                            <w:r w:rsidRPr="00215BC1">
                              <w:rPr>
                                <w:i/>
                              </w:rPr>
                              <w:t xml:space="preserve"> </w:t>
                            </w:r>
                            <w:r w:rsidRPr="00215BC1">
                              <w:rPr>
                                <w:i/>
                                <w:u w:val="single"/>
                              </w:rPr>
                              <w:t>orally</w:t>
                            </w:r>
                            <w:r>
                              <w:rPr>
                                <w:i/>
                              </w:rPr>
                              <w:t xml:space="preserve"> where the appropriate </w:t>
                            </w:r>
                            <w:r w:rsidRPr="004D088B">
                              <w:rPr>
                                <w:i/>
                              </w:rPr>
                              <w:t>end of a medicine spoon may be used)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.5pt;margin-top:11pt;width:497.2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" fillcolor="white [3201]" strokeweight="2.25pt">
                <v:textbox>
                  <w:txbxContent>
                    <w:p w:rsidR="00762AE2" w:rsidRPr="00215BC1" w:rsidRDefault="00762AE2" w:rsidP="00762AE2">
                      <w:pPr>
                        <w:rPr>
                          <w:b/>
                        </w:rPr>
                      </w:pPr>
                      <w:r w:rsidRPr="00215BC1">
                        <w:rPr>
                          <w:b/>
                        </w:rPr>
                        <w:t>STOP / CHALLENGE / REPORT</w:t>
                      </w:r>
                    </w:p>
                    <w:p w:rsidR="00762AE2" w:rsidRDefault="00762AE2" w:rsidP="00762AE2">
                      <w:r>
                        <w:t xml:space="preserve">No oral / enteral medicines should be administered in anything other than a </w:t>
                      </w:r>
                      <w:r w:rsidRPr="003224E8">
                        <w:rPr>
                          <w:b/>
                          <w:color w:val="8064A2" w:themeColor="accent4"/>
                        </w:rPr>
                        <w:t>purple oral/enteral syringe</w:t>
                      </w:r>
                    </w:p>
                    <w:p w:rsidR="00762AE2" w:rsidRPr="004D088B" w:rsidRDefault="00762AE2" w:rsidP="00762AE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>
                        <w:rPr>
                          <w:i/>
                        </w:rPr>
                        <w:t>unless</w:t>
                      </w:r>
                      <w:proofErr w:type="gramEnd"/>
                      <w:r>
                        <w:rPr>
                          <w:i/>
                        </w:rPr>
                        <w:t xml:space="preserve"> the dose </w:t>
                      </w:r>
                      <w:r w:rsidR="00CF5E1F">
                        <w:rPr>
                          <w:i/>
                        </w:rPr>
                        <w:t xml:space="preserve">is </w:t>
                      </w:r>
                      <w:r>
                        <w:rPr>
                          <w:i/>
                        </w:rPr>
                        <w:t xml:space="preserve">in multiples of </w:t>
                      </w:r>
                      <w:r w:rsidRPr="004D088B">
                        <w:rPr>
                          <w:i/>
                        </w:rPr>
                        <w:t xml:space="preserve"> 2.5ml or 5ml</w:t>
                      </w:r>
                      <w:r w:rsidRPr="00215BC1">
                        <w:rPr>
                          <w:i/>
                        </w:rPr>
                        <w:t xml:space="preserve"> </w:t>
                      </w:r>
                      <w:r w:rsidRPr="00215BC1">
                        <w:rPr>
                          <w:i/>
                          <w:u w:val="single"/>
                        </w:rPr>
                        <w:t>orally</w:t>
                      </w:r>
                      <w:r>
                        <w:rPr>
                          <w:i/>
                        </w:rPr>
                        <w:t xml:space="preserve"> where the appropriate </w:t>
                      </w:r>
                      <w:r w:rsidRPr="004D088B">
                        <w:rPr>
                          <w:i/>
                        </w:rPr>
                        <w:t>end of a medicine spoon may be used)</w:t>
                      </w:r>
                    </w:p>
                  </w:txbxContent>
                </v:textbox>
              </v:shape>
            </w:pict>
          </mc:Fallback>
        </mc:AlternateContent>
      </w:r>
    </w:p>
    <w:p w:rsidR="00762AE2" w:rsidRDefault="00762AE2" w:rsidP="004D088B">
      <w:pPr>
        <w:shd w:val="clear" w:color="auto" w:fill="FFFFFF"/>
        <w:spacing w:after="160"/>
        <w:rPr>
          <w:color w:val="202124"/>
        </w:rPr>
      </w:pPr>
    </w:p>
    <w:p w:rsidR="00762AE2" w:rsidRDefault="00762AE2" w:rsidP="004D088B">
      <w:pPr>
        <w:shd w:val="clear" w:color="auto" w:fill="FFFFFF"/>
        <w:spacing w:after="160"/>
        <w:rPr>
          <w:color w:val="202124"/>
        </w:rPr>
      </w:pPr>
    </w:p>
    <w:p w:rsidR="00762AE2" w:rsidRDefault="00762AE2" w:rsidP="004D088B">
      <w:pPr>
        <w:shd w:val="clear" w:color="auto" w:fill="FFFFFF"/>
        <w:spacing w:after="160"/>
        <w:rPr>
          <w:color w:val="202124"/>
        </w:rPr>
      </w:pPr>
    </w:p>
    <w:p w:rsidR="00CA68CB" w:rsidRDefault="00CA68CB" w:rsidP="004D088B">
      <w:pPr>
        <w:shd w:val="clear" w:color="auto" w:fill="FFFFFF"/>
        <w:spacing w:after="160"/>
        <w:rPr>
          <w:color w:val="202124"/>
        </w:rPr>
      </w:pPr>
      <w:bookmarkStart w:id="0" w:name="_GoBack"/>
      <w:bookmarkEnd w:id="0"/>
    </w:p>
    <w:p w:rsidR="00762AE2" w:rsidRDefault="00762AE2" w:rsidP="004D088B">
      <w:pPr>
        <w:shd w:val="clear" w:color="auto" w:fill="FFFFFF"/>
        <w:spacing w:after="160"/>
        <w:rPr>
          <w:color w:val="202124"/>
        </w:rPr>
      </w:pPr>
      <w:r>
        <w:rPr>
          <w:color w:val="202124"/>
        </w:rPr>
        <w:t xml:space="preserve">There have been 2 near-miss Never Events in the organisation whereby oral medications have been prepared and/or attempted to be administered via the intravenous route.  Investigations remain underway. </w:t>
      </w:r>
    </w:p>
    <w:p w:rsidR="005C3411" w:rsidRPr="003224E8" w:rsidRDefault="005C3411" w:rsidP="004D088B">
      <w:pPr>
        <w:shd w:val="clear" w:color="auto" w:fill="FFFFFF"/>
        <w:spacing w:after="160"/>
      </w:pPr>
      <w:r w:rsidRPr="003224E8">
        <w:t xml:space="preserve">This type of medicine error is defined by NHS England and Department of Health as </w:t>
      </w:r>
      <w:r w:rsidR="003224E8">
        <w:t xml:space="preserve">a </w:t>
      </w:r>
      <w:hyperlink r:id="rId12" w:history="1">
        <w:r w:rsidRPr="00C918D0">
          <w:rPr>
            <w:rStyle w:val="Hyperlink"/>
          </w:rPr>
          <w:t>Never Event</w:t>
        </w:r>
      </w:hyperlink>
      <w:r w:rsidRPr="003224E8">
        <w:t xml:space="preserve">. In 2007 the National Patient Safety Agency (NPSA) issued a </w:t>
      </w:r>
      <w:hyperlink r:id="rId13" w:history="1">
        <w:r w:rsidRPr="003224E8">
          <w:rPr>
            <w:rStyle w:val="Hyperlink"/>
          </w:rPr>
          <w:t>patient safety alert</w:t>
        </w:r>
      </w:hyperlink>
      <w:r w:rsidRPr="003224E8">
        <w:t xml:space="preserve"> which highlighted the potentially life-threatening risk of such wrong route errors.</w:t>
      </w:r>
    </w:p>
    <w:p w:rsidR="00C918D0" w:rsidRDefault="00651561" w:rsidP="004D088B">
      <w:pPr>
        <w:shd w:val="clear" w:color="auto" w:fill="FFFFFF"/>
        <w:spacing w:before="180" w:after="180"/>
        <w:rPr>
          <w:b/>
          <w:color w:val="202124"/>
        </w:rPr>
      </w:pPr>
      <w:r w:rsidRPr="00C918D0">
        <w:rPr>
          <w:b/>
          <w:color w:val="8064A2" w:themeColor="accent4"/>
        </w:rPr>
        <w:t xml:space="preserve">Purple </w:t>
      </w:r>
      <w:hyperlink r:id="rId14" w:anchor=":~:text=GBUK%20Enteral%20GBUK%20Enteral%20specialises%20in%20the%20supply,their%20own%20homes.%20Infant%20Feeding%20%26%20Breastfeeding%20Accessories" w:history="1">
        <w:r w:rsidRPr="00C918D0">
          <w:rPr>
            <w:rStyle w:val="Hyperlink"/>
          </w:rPr>
          <w:t>oral/enteral syringes</w:t>
        </w:r>
      </w:hyperlink>
      <w:r w:rsidRPr="00103DCC">
        <w:rPr>
          <w:color w:val="202124"/>
        </w:rPr>
        <w:t xml:space="preserve"> </w:t>
      </w:r>
      <w:r w:rsidRPr="00C918D0">
        <w:rPr>
          <w:b/>
          <w:color w:val="202124"/>
        </w:rPr>
        <w:t>MUST</w:t>
      </w:r>
      <w:r w:rsidRPr="00103DCC">
        <w:rPr>
          <w:color w:val="202124"/>
        </w:rPr>
        <w:t xml:space="preserve"> be used for administration of </w:t>
      </w:r>
      <w:r w:rsidRPr="00C918D0">
        <w:rPr>
          <w:b/>
          <w:color w:val="202124"/>
        </w:rPr>
        <w:t xml:space="preserve">ALL liquid medicines given orally or via an enteral feeding tube. </w:t>
      </w:r>
    </w:p>
    <w:p w:rsidR="00EB6B63" w:rsidRPr="00C918D0" w:rsidRDefault="00873444" w:rsidP="00762AE2">
      <w:pPr>
        <w:shd w:val="clear" w:color="auto" w:fill="FFFFFF"/>
        <w:spacing w:before="180"/>
        <w:rPr>
          <w:b/>
          <w:color w:val="202124"/>
        </w:rPr>
      </w:pPr>
      <w:r w:rsidRPr="00C918D0">
        <w:rPr>
          <w:b/>
          <w:color w:val="202124"/>
        </w:rPr>
        <w:t>Why</w:t>
      </w:r>
      <w:r w:rsidRPr="00103DCC">
        <w:rPr>
          <w:color w:val="202124"/>
        </w:rPr>
        <w:t xml:space="preserve"> are </w:t>
      </w:r>
      <w:r w:rsidRPr="00C918D0">
        <w:rPr>
          <w:b/>
          <w:color w:val="8064A2" w:themeColor="accent4"/>
        </w:rPr>
        <w:t>purple</w:t>
      </w:r>
      <w:r w:rsidRPr="00103DCC">
        <w:rPr>
          <w:color w:val="202124"/>
        </w:rPr>
        <w:t xml:space="preserve"> oral enteral syringes used to administer oral liquid medicines?</w:t>
      </w:r>
    </w:p>
    <w:p w:rsidR="004D088B" w:rsidRPr="00103DCC" w:rsidRDefault="00C918D0" w:rsidP="004D088B">
      <w:pPr>
        <w:pStyle w:val="ListParagraph"/>
        <w:numPr>
          <w:ilvl w:val="0"/>
          <w:numId w:val="8"/>
        </w:numPr>
        <w:shd w:val="clear" w:color="auto" w:fill="FFFFFF"/>
        <w:rPr>
          <w:color w:val="202124"/>
        </w:rPr>
      </w:pPr>
      <w:r w:rsidRPr="00C918D0">
        <w:rPr>
          <w:b/>
          <w:color w:val="8064A2" w:themeColor="accent4"/>
        </w:rPr>
        <w:t xml:space="preserve">Purple </w:t>
      </w:r>
      <w:r>
        <w:rPr>
          <w:color w:val="202124"/>
        </w:rPr>
        <w:t>o</w:t>
      </w:r>
      <w:r w:rsidR="00873444" w:rsidRPr="00103DCC">
        <w:rPr>
          <w:color w:val="202124"/>
        </w:rPr>
        <w:t xml:space="preserve">ral/enteral syringes </w:t>
      </w:r>
      <w:r w:rsidR="00202614" w:rsidRPr="00103DCC">
        <w:rPr>
          <w:color w:val="202124"/>
        </w:rPr>
        <w:t xml:space="preserve">are reverse </w:t>
      </w:r>
      <w:proofErr w:type="spellStart"/>
      <w:r w:rsidR="00202614" w:rsidRPr="00103DCC">
        <w:rPr>
          <w:color w:val="202124"/>
        </w:rPr>
        <w:t>luer</w:t>
      </w:r>
      <w:proofErr w:type="spellEnd"/>
      <w:r w:rsidR="00202614" w:rsidRPr="00103DCC">
        <w:rPr>
          <w:color w:val="202124"/>
        </w:rPr>
        <w:t xml:space="preserve"> lock in design and </w:t>
      </w:r>
      <w:r w:rsidR="00873444" w:rsidRPr="00103DCC">
        <w:rPr>
          <w:color w:val="202124"/>
        </w:rPr>
        <w:t xml:space="preserve">cannot </w:t>
      </w:r>
      <w:r w:rsidR="004D088B" w:rsidRPr="00103DCC">
        <w:rPr>
          <w:color w:val="202124"/>
        </w:rPr>
        <w:t xml:space="preserve">physically </w:t>
      </w:r>
      <w:r w:rsidR="00873444" w:rsidRPr="00103DCC">
        <w:rPr>
          <w:color w:val="202124"/>
        </w:rPr>
        <w:t>be connected to</w:t>
      </w:r>
      <w:r w:rsidR="004D088B" w:rsidRPr="00103DCC">
        <w:rPr>
          <w:color w:val="202124"/>
        </w:rPr>
        <w:t xml:space="preserve"> an</w:t>
      </w:r>
      <w:r w:rsidR="00873444" w:rsidRPr="00103DCC">
        <w:rPr>
          <w:color w:val="202124"/>
        </w:rPr>
        <w:t xml:space="preserve"> intravenous </w:t>
      </w:r>
      <w:r w:rsidR="004D088B" w:rsidRPr="00103DCC">
        <w:rPr>
          <w:color w:val="202124"/>
        </w:rPr>
        <w:t xml:space="preserve">(IV) </w:t>
      </w:r>
      <w:r w:rsidR="00873444" w:rsidRPr="00103DCC">
        <w:rPr>
          <w:color w:val="202124"/>
        </w:rPr>
        <w:t>catheters</w:t>
      </w:r>
      <w:r w:rsidR="004D088B" w:rsidRPr="00103DCC">
        <w:rPr>
          <w:color w:val="202124"/>
        </w:rPr>
        <w:t>/cannula (the tip of the syringe</w:t>
      </w:r>
      <w:r>
        <w:rPr>
          <w:color w:val="202124"/>
        </w:rPr>
        <w:t>s</w:t>
      </w:r>
      <w:r w:rsidR="004D088B" w:rsidRPr="00103DCC">
        <w:rPr>
          <w:color w:val="202124"/>
        </w:rPr>
        <w:t xml:space="preserve"> are different)</w:t>
      </w:r>
      <w:r w:rsidR="00202614" w:rsidRPr="00103DCC">
        <w:rPr>
          <w:color w:val="202124"/>
        </w:rPr>
        <w:t xml:space="preserve"> </w:t>
      </w:r>
      <w:r w:rsidR="00202614" w:rsidRPr="00C918D0">
        <w:rPr>
          <w:i/>
          <w:color w:val="202124"/>
        </w:rPr>
        <w:t>(</w:t>
      </w:r>
      <w:r w:rsidRPr="00C918D0">
        <w:rPr>
          <w:i/>
          <w:color w:val="202124"/>
        </w:rPr>
        <w:t xml:space="preserve">error </w:t>
      </w:r>
      <w:r w:rsidR="00202614" w:rsidRPr="00C918D0">
        <w:rPr>
          <w:i/>
          <w:color w:val="202124"/>
        </w:rPr>
        <w:t>PREVENT)</w:t>
      </w:r>
      <w:r w:rsidR="004D088B" w:rsidRPr="00103DCC">
        <w:rPr>
          <w:color w:val="202124"/>
        </w:rPr>
        <w:t>.</w:t>
      </w:r>
    </w:p>
    <w:p w:rsidR="004D088B" w:rsidRPr="00103DCC" w:rsidRDefault="00C918D0" w:rsidP="004D088B">
      <w:pPr>
        <w:pStyle w:val="ListParagraph"/>
        <w:numPr>
          <w:ilvl w:val="0"/>
          <w:numId w:val="8"/>
        </w:numPr>
        <w:shd w:val="clear" w:color="auto" w:fill="FFFFFF"/>
        <w:rPr>
          <w:color w:val="202124"/>
        </w:rPr>
      </w:pPr>
      <w:r w:rsidRPr="00C918D0">
        <w:rPr>
          <w:b/>
          <w:color w:val="8064A2" w:themeColor="accent4"/>
        </w:rPr>
        <w:t>Purple</w:t>
      </w:r>
      <w:r>
        <w:rPr>
          <w:color w:val="202124"/>
        </w:rPr>
        <w:t xml:space="preserve"> o</w:t>
      </w:r>
      <w:r w:rsidR="00873444" w:rsidRPr="00103DCC">
        <w:rPr>
          <w:color w:val="202124"/>
        </w:rPr>
        <w:t>ral/enteral syringes are compat</w:t>
      </w:r>
      <w:r w:rsidR="004D088B" w:rsidRPr="00103DCC">
        <w:rPr>
          <w:color w:val="202124"/>
        </w:rPr>
        <w:t>ible with enteral feeding tubes.</w:t>
      </w:r>
    </w:p>
    <w:p w:rsidR="00202614" w:rsidRPr="00103DCC" w:rsidRDefault="00873444" w:rsidP="004D088B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color w:val="3D5567"/>
        </w:rPr>
      </w:pPr>
      <w:r w:rsidRPr="00103DCC">
        <w:rPr>
          <w:b/>
          <w:color w:val="674EA7"/>
        </w:rPr>
        <w:t>Oral/enteral syringes have a purple plunger</w:t>
      </w:r>
      <w:r w:rsidRPr="00103DCC">
        <w:rPr>
          <w:color w:val="202124"/>
        </w:rPr>
        <w:t xml:space="preserve"> to distinguish from </w:t>
      </w:r>
      <w:r w:rsidR="004D088B" w:rsidRPr="00103DCC">
        <w:rPr>
          <w:color w:val="202124"/>
        </w:rPr>
        <w:t xml:space="preserve">an IV </w:t>
      </w:r>
      <w:r w:rsidRPr="00103DCC">
        <w:rPr>
          <w:color w:val="202124"/>
        </w:rPr>
        <w:t xml:space="preserve">syringes and </w:t>
      </w:r>
      <w:r w:rsidRPr="00103DCC">
        <w:rPr>
          <w:b/>
          <w:color w:val="202124"/>
        </w:rPr>
        <w:t>provide a visual reminder</w:t>
      </w:r>
      <w:r w:rsidRPr="00103DCC">
        <w:rPr>
          <w:color w:val="202124"/>
        </w:rPr>
        <w:t xml:space="preserve"> that the medication in the syringe must be administered via the oral/enteral route</w:t>
      </w:r>
      <w:r w:rsidR="00202614" w:rsidRPr="00103DCC">
        <w:rPr>
          <w:color w:val="202124"/>
        </w:rPr>
        <w:t xml:space="preserve"> </w:t>
      </w:r>
      <w:r w:rsidR="00202614" w:rsidRPr="00C918D0">
        <w:rPr>
          <w:i/>
          <w:color w:val="202124"/>
        </w:rPr>
        <w:t>(</w:t>
      </w:r>
      <w:r w:rsidR="00C918D0" w:rsidRPr="00C918D0">
        <w:rPr>
          <w:i/>
          <w:color w:val="202124"/>
        </w:rPr>
        <w:t xml:space="preserve">error </w:t>
      </w:r>
      <w:r w:rsidR="00202614" w:rsidRPr="00C918D0">
        <w:rPr>
          <w:i/>
          <w:color w:val="202124"/>
        </w:rPr>
        <w:t>ALERT)</w:t>
      </w:r>
      <w:r w:rsidRPr="00C918D0">
        <w:rPr>
          <w:i/>
          <w:color w:val="202124"/>
        </w:rPr>
        <w:t>.</w:t>
      </w:r>
    </w:p>
    <w:p w:rsidR="004D088B" w:rsidRPr="00103DCC" w:rsidRDefault="00202614" w:rsidP="00202614">
      <w:pPr>
        <w:shd w:val="clear" w:color="auto" w:fill="FFFFFF"/>
        <w:spacing w:after="160"/>
        <w:rPr>
          <w:color w:val="3D5567"/>
        </w:rPr>
      </w:pPr>
      <w:r w:rsidRPr="00103DCC">
        <w:rPr>
          <w:color w:val="202124"/>
        </w:rPr>
        <w:t>An</w:t>
      </w:r>
      <w:r w:rsidR="004D088B" w:rsidRPr="00103DCC">
        <w:rPr>
          <w:color w:val="202124"/>
        </w:rPr>
        <w:t xml:space="preserve"> IV (</w:t>
      </w:r>
      <w:proofErr w:type="spellStart"/>
      <w:r w:rsidR="004D088B" w:rsidRPr="00103DCC">
        <w:rPr>
          <w:color w:val="202124"/>
        </w:rPr>
        <w:t>luer</w:t>
      </w:r>
      <w:proofErr w:type="spellEnd"/>
      <w:r w:rsidR="004D088B" w:rsidRPr="00103DCC">
        <w:rPr>
          <w:color w:val="202124"/>
        </w:rPr>
        <w:t>-tipped) syringe</w:t>
      </w:r>
      <w:r w:rsidR="00873444" w:rsidRPr="00103DCC">
        <w:rPr>
          <w:color w:val="202124"/>
        </w:rPr>
        <w:t xml:space="preserve"> mu</w:t>
      </w:r>
      <w:r w:rsidR="003224E8">
        <w:rPr>
          <w:color w:val="202124"/>
        </w:rPr>
        <w:t xml:space="preserve">st </w:t>
      </w:r>
      <w:r w:rsidR="003224E8" w:rsidRPr="00C918D0">
        <w:rPr>
          <w:b/>
          <w:color w:val="202124"/>
          <w:u w:val="single"/>
        </w:rPr>
        <w:t>never</w:t>
      </w:r>
      <w:r w:rsidR="004D088B" w:rsidRPr="00103DCC">
        <w:rPr>
          <w:color w:val="202124"/>
        </w:rPr>
        <w:t xml:space="preserve">, under any circumstance, </w:t>
      </w:r>
      <w:r w:rsidR="003224E8">
        <w:rPr>
          <w:color w:val="202124"/>
        </w:rPr>
        <w:t>be used to administer</w:t>
      </w:r>
      <w:r w:rsidR="004D088B" w:rsidRPr="00103DCC">
        <w:rPr>
          <w:color w:val="202124"/>
        </w:rPr>
        <w:t xml:space="preserve"> </w:t>
      </w:r>
      <w:r w:rsidR="00873444" w:rsidRPr="00103DCC">
        <w:rPr>
          <w:color w:val="202124"/>
        </w:rPr>
        <w:t>oral</w:t>
      </w:r>
      <w:r w:rsidR="004D088B" w:rsidRPr="00103DCC">
        <w:rPr>
          <w:color w:val="202124"/>
        </w:rPr>
        <w:t xml:space="preserve">/enteral </w:t>
      </w:r>
      <w:r w:rsidR="00873444" w:rsidRPr="00103DCC">
        <w:rPr>
          <w:color w:val="202124"/>
        </w:rPr>
        <w:t>medicines.</w:t>
      </w:r>
      <w:r w:rsidR="004D088B" w:rsidRPr="00103DCC">
        <w:rPr>
          <w:color w:val="202124"/>
        </w:rPr>
        <w:t xml:space="preserve"> This is to prevent</w:t>
      </w:r>
      <w:r w:rsidR="00C918D0">
        <w:rPr>
          <w:color w:val="202124"/>
        </w:rPr>
        <w:t xml:space="preserve"> the accidental connection of a syringe of an</w:t>
      </w:r>
      <w:r w:rsidR="004D088B" w:rsidRPr="00103DCC">
        <w:rPr>
          <w:color w:val="202124"/>
        </w:rPr>
        <w:t xml:space="preserve"> oral</w:t>
      </w:r>
      <w:r w:rsidR="00C918D0">
        <w:rPr>
          <w:color w:val="202124"/>
        </w:rPr>
        <w:t>/enteral</w:t>
      </w:r>
      <w:r w:rsidR="004D088B" w:rsidRPr="00103DCC">
        <w:rPr>
          <w:color w:val="202124"/>
        </w:rPr>
        <w:t xml:space="preserve"> medicine to an IV cannula, resulting in IV administration and </w:t>
      </w:r>
      <w:r w:rsidR="00C918D0">
        <w:rPr>
          <w:color w:val="202124"/>
        </w:rPr>
        <w:t xml:space="preserve">risk of patient </w:t>
      </w:r>
      <w:r w:rsidR="004D088B" w:rsidRPr="00103DCC">
        <w:rPr>
          <w:color w:val="202124"/>
        </w:rPr>
        <w:t xml:space="preserve">harm. </w:t>
      </w:r>
    </w:p>
    <w:p w:rsidR="003E6574" w:rsidRPr="00103DCC" w:rsidRDefault="00873444" w:rsidP="003E6574">
      <w:pPr>
        <w:shd w:val="clear" w:color="auto" w:fill="FFFFFF"/>
      </w:pPr>
      <w:r w:rsidRPr="00103DCC">
        <w:rPr>
          <w:b/>
          <w:color w:val="202124"/>
        </w:rPr>
        <w:t>Action</w:t>
      </w:r>
      <w:r w:rsidR="00202614" w:rsidRPr="00103DCC">
        <w:rPr>
          <w:b/>
          <w:color w:val="202124"/>
        </w:rPr>
        <w:t>/mitigation</w:t>
      </w:r>
      <w:r w:rsidRPr="00103DCC">
        <w:rPr>
          <w:b/>
          <w:color w:val="202124"/>
        </w:rPr>
        <w:t xml:space="preserve">: </w:t>
      </w:r>
    </w:p>
    <w:p w:rsidR="003E6574" w:rsidRPr="003224E8" w:rsidRDefault="003E6574" w:rsidP="003E6574">
      <w:pPr>
        <w:pStyle w:val="ListParagraph"/>
        <w:numPr>
          <w:ilvl w:val="0"/>
          <w:numId w:val="9"/>
        </w:numPr>
        <w:shd w:val="clear" w:color="auto" w:fill="FFFFFF"/>
        <w:spacing w:after="160"/>
      </w:pPr>
      <w:r w:rsidRPr="003224E8">
        <w:t xml:space="preserve">Check the PRESCRIPTION </w:t>
      </w:r>
      <w:r w:rsidR="00C918D0">
        <w:t>–</w:t>
      </w:r>
      <w:r w:rsidR="00873444" w:rsidRPr="003224E8">
        <w:t xml:space="preserve"> what is the in</w:t>
      </w:r>
      <w:r w:rsidRPr="003224E8">
        <w:t xml:space="preserve">tended route of administration? </w:t>
      </w:r>
    </w:p>
    <w:p w:rsidR="00103DCC" w:rsidRPr="00762AE2" w:rsidRDefault="003E6574" w:rsidP="00762AE2">
      <w:pPr>
        <w:pStyle w:val="ListParagraph"/>
        <w:shd w:val="clear" w:color="auto" w:fill="FFFFFF"/>
        <w:spacing w:after="160"/>
        <w:ind w:left="360"/>
      </w:pPr>
      <w:proofErr w:type="gramStart"/>
      <w:r w:rsidRPr="003224E8">
        <w:t>If incomplete / unclear / unsure.</w:t>
      </w:r>
      <w:proofErr w:type="gramEnd"/>
      <w:r w:rsidRPr="003224E8">
        <w:t xml:space="preserve"> </w:t>
      </w:r>
      <w:r w:rsidRPr="003224E8">
        <w:rPr>
          <w:b/>
        </w:rPr>
        <w:t>STOP</w:t>
      </w:r>
      <w:r w:rsidR="003224E8">
        <w:rPr>
          <w:b/>
        </w:rPr>
        <w:t xml:space="preserve"> </w:t>
      </w:r>
      <w:r w:rsidR="003224E8">
        <w:t>–</w:t>
      </w:r>
      <w:r w:rsidRPr="003224E8">
        <w:t xml:space="preserve"> s</w:t>
      </w:r>
      <w:r w:rsidR="00873444" w:rsidRPr="003224E8">
        <w:t>eek advice,</w:t>
      </w:r>
      <w:r w:rsidRPr="003224E8">
        <w:t xml:space="preserve"> </w:t>
      </w:r>
      <w:r w:rsidR="00C918D0">
        <w:t xml:space="preserve">ensure </w:t>
      </w:r>
      <w:r w:rsidRPr="003224E8">
        <w:t xml:space="preserve">prescription update, have a </w:t>
      </w:r>
      <w:r w:rsidR="00873444" w:rsidRPr="003224E8">
        <w:rPr>
          <w:b/>
        </w:rPr>
        <w:t>Safety Conversation</w:t>
      </w:r>
      <w:r w:rsidR="00873444" w:rsidRPr="003224E8">
        <w:t xml:space="preserve">. </w:t>
      </w:r>
    </w:p>
    <w:p w:rsidR="003E6574" w:rsidRPr="003224E8" w:rsidRDefault="00873444" w:rsidP="003E6574">
      <w:pPr>
        <w:pStyle w:val="ListParagraph"/>
        <w:numPr>
          <w:ilvl w:val="0"/>
          <w:numId w:val="9"/>
        </w:numPr>
        <w:shd w:val="clear" w:color="auto" w:fill="FFFFFF"/>
        <w:spacing w:after="160"/>
      </w:pPr>
      <w:r w:rsidRPr="003224E8">
        <w:t xml:space="preserve">CHECK </w:t>
      </w:r>
      <w:r w:rsidR="003E6574" w:rsidRPr="003224E8">
        <w:t xml:space="preserve">the </w:t>
      </w:r>
      <w:r w:rsidRPr="003224E8">
        <w:t xml:space="preserve">drug, dose, formulation, route </w:t>
      </w:r>
    </w:p>
    <w:p w:rsidR="003E6574" w:rsidRPr="003224E8" w:rsidRDefault="003E6574" w:rsidP="003E6574">
      <w:pPr>
        <w:pStyle w:val="ListParagraph"/>
        <w:numPr>
          <w:ilvl w:val="0"/>
          <w:numId w:val="9"/>
        </w:numPr>
        <w:shd w:val="clear" w:color="auto" w:fill="FFFFFF"/>
        <w:spacing w:after="160"/>
      </w:pPr>
      <w:r w:rsidRPr="003224E8">
        <w:t xml:space="preserve">Oral / enteral: </w:t>
      </w:r>
      <w:r w:rsidRPr="003224E8">
        <w:rPr>
          <w:b/>
          <w:color w:val="8064A2" w:themeColor="accent4"/>
        </w:rPr>
        <w:t>THINK PURPLE!</w:t>
      </w:r>
    </w:p>
    <w:p w:rsidR="00EB6B63" w:rsidRPr="003224E8" w:rsidRDefault="003E6574" w:rsidP="003E6574">
      <w:pPr>
        <w:pStyle w:val="ListParagraph"/>
        <w:numPr>
          <w:ilvl w:val="1"/>
          <w:numId w:val="9"/>
        </w:numPr>
        <w:shd w:val="clear" w:color="auto" w:fill="FFFFFF"/>
        <w:spacing w:after="160"/>
      </w:pPr>
      <w:r w:rsidRPr="003224E8">
        <w:lastRenderedPageBreak/>
        <w:t xml:space="preserve">An appropriate size, </w:t>
      </w:r>
      <w:r w:rsidRPr="003224E8">
        <w:rPr>
          <w:b/>
          <w:color w:val="8064A2" w:themeColor="accent4"/>
        </w:rPr>
        <w:t>purple</w:t>
      </w:r>
      <w:r w:rsidRPr="003224E8">
        <w:t xml:space="preserve"> </w:t>
      </w:r>
      <w:r w:rsidR="00873444" w:rsidRPr="003224E8">
        <w:t xml:space="preserve">oral/enteral syringe </w:t>
      </w:r>
      <w:r w:rsidRPr="003224E8">
        <w:t>MUST</w:t>
      </w:r>
      <w:r w:rsidR="00873444" w:rsidRPr="003224E8">
        <w:t xml:space="preserve"> be used to administer </w:t>
      </w:r>
      <w:r w:rsidR="00C918D0">
        <w:t xml:space="preserve">an </w:t>
      </w:r>
      <w:r w:rsidR="00873444" w:rsidRPr="003224E8">
        <w:t xml:space="preserve">oral liquid medicine if a medicine spoon or graduated measure cannot be used to measure and administer the prescribed dose.     </w:t>
      </w:r>
    </w:p>
    <w:p w:rsidR="00202614" w:rsidRPr="003224E8" w:rsidRDefault="003224E8" w:rsidP="00215BC1">
      <w:pPr>
        <w:pStyle w:val="ListParagraph"/>
        <w:numPr>
          <w:ilvl w:val="1"/>
          <w:numId w:val="9"/>
        </w:numPr>
        <w:shd w:val="clear" w:color="auto" w:fill="FFFFFF"/>
        <w:spacing w:after="160"/>
      </w:pPr>
      <w:r w:rsidRPr="003224E8">
        <w:t xml:space="preserve">A </w:t>
      </w:r>
      <w:r w:rsidRPr="003224E8">
        <w:rPr>
          <w:b/>
          <w:color w:val="8064A2" w:themeColor="accent4"/>
        </w:rPr>
        <w:t>purple</w:t>
      </w:r>
      <w:r w:rsidRPr="003224E8">
        <w:t xml:space="preserve"> </w:t>
      </w:r>
      <w:r w:rsidR="000B228E" w:rsidRPr="003224E8">
        <w:t xml:space="preserve">enteral syringe MUST be used for any </w:t>
      </w:r>
      <w:r w:rsidR="00287E04" w:rsidRPr="003224E8">
        <w:t xml:space="preserve">enteral </w:t>
      </w:r>
      <w:r w:rsidR="000B228E" w:rsidRPr="003224E8">
        <w:t xml:space="preserve">administration </w:t>
      </w:r>
      <w:r w:rsidR="00287E04" w:rsidRPr="003224E8">
        <w:t xml:space="preserve">via an enteral feeding tube </w:t>
      </w:r>
    </w:p>
    <w:p w:rsidR="00287E04" w:rsidRPr="00103DCC" w:rsidRDefault="00287E04" w:rsidP="00287E04">
      <w:pPr>
        <w:pStyle w:val="ListParagraph"/>
        <w:numPr>
          <w:ilvl w:val="0"/>
          <w:numId w:val="9"/>
        </w:numPr>
        <w:shd w:val="clear" w:color="auto" w:fill="FFFFFF"/>
        <w:spacing w:after="160"/>
        <w:rPr>
          <w:color w:val="3D5567"/>
        </w:rPr>
      </w:pPr>
      <w:r w:rsidRPr="00103DCC">
        <w:rPr>
          <w:color w:val="202124"/>
        </w:rPr>
        <w:t xml:space="preserve">All clinical areas </w:t>
      </w:r>
      <w:r w:rsidR="00202614" w:rsidRPr="00103DCC">
        <w:rPr>
          <w:color w:val="202124"/>
        </w:rPr>
        <w:t xml:space="preserve">where oral/enteral medication may be administered </w:t>
      </w:r>
      <w:r w:rsidR="00873444" w:rsidRPr="00103DCC">
        <w:rPr>
          <w:color w:val="202124"/>
        </w:rPr>
        <w:t>must have an available stock of</w:t>
      </w:r>
      <w:r w:rsidR="00873444" w:rsidRPr="003224E8">
        <w:rPr>
          <w:b/>
          <w:color w:val="8064A2" w:themeColor="accent4"/>
        </w:rPr>
        <w:t xml:space="preserve"> </w:t>
      </w:r>
      <w:r w:rsidR="003224E8" w:rsidRPr="003224E8">
        <w:rPr>
          <w:b/>
          <w:color w:val="8064A2" w:themeColor="accent4"/>
        </w:rPr>
        <w:t xml:space="preserve">purple </w:t>
      </w:r>
      <w:r w:rsidR="00873444" w:rsidRPr="00103DCC">
        <w:rPr>
          <w:color w:val="202124"/>
        </w:rPr>
        <w:t xml:space="preserve">oral/enteral syringes </w:t>
      </w:r>
    </w:p>
    <w:p w:rsidR="00287E04" w:rsidRPr="00103DCC" w:rsidRDefault="003224E8" w:rsidP="00287E04">
      <w:pPr>
        <w:pStyle w:val="ListParagraph"/>
        <w:numPr>
          <w:ilvl w:val="1"/>
          <w:numId w:val="9"/>
        </w:numPr>
        <w:shd w:val="clear" w:color="auto" w:fill="FFFFFF"/>
        <w:spacing w:after="160"/>
        <w:rPr>
          <w:color w:val="3D5567"/>
        </w:rPr>
      </w:pPr>
      <w:r w:rsidRPr="003224E8">
        <w:rPr>
          <w:b/>
          <w:color w:val="8064A2" w:themeColor="accent4"/>
        </w:rPr>
        <w:t>Purple</w:t>
      </w:r>
      <w:r>
        <w:rPr>
          <w:color w:val="202124"/>
        </w:rPr>
        <w:t xml:space="preserve"> o</w:t>
      </w:r>
      <w:r w:rsidR="00873444" w:rsidRPr="00103DCC">
        <w:rPr>
          <w:color w:val="202124"/>
        </w:rPr>
        <w:t xml:space="preserve">ral/enteral syringes </w:t>
      </w:r>
      <w:r w:rsidR="00287E04" w:rsidRPr="00103DCC">
        <w:rPr>
          <w:color w:val="202124"/>
        </w:rPr>
        <w:t xml:space="preserve">should be </w:t>
      </w:r>
      <w:r w:rsidR="00873444" w:rsidRPr="00103DCC">
        <w:rPr>
          <w:color w:val="202124"/>
        </w:rPr>
        <w:t>segregated from IV syringes</w:t>
      </w:r>
    </w:p>
    <w:p w:rsidR="00762AE2" w:rsidRPr="00762AE2" w:rsidRDefault="00873444" w:rsidP="0056612A">
      <w:pPr>
        <w:pStyle w:val="ListParagraph"/>
        <w:numPr>
          <w:ilvl w:val="1"/>
          <w:numId w:val="9"/>
        </w:numPr>
        <w:shd w:val="clear" w:color="auto" w:fill="FFFFFF"/>
        <w:spacing w:after="160"/>
        <w:rPr>
          <w:color w:val="3D5567"/>
        </w:rPr>
      </w:pPr>
      <w:r w:rsidRPr="00103DCC">
        <w:rPr>
          <w:color w:val="202124"/>
        </w:rPr>
        <w:t xml:space="preserve">Consider having a supply of oral/enteral syringes available in the </w:t>
      </w:r>
      <w:proofErr w:type="spellStart"/>
      <w:r w:rsidRPr="00103DCC">
        <w:rPr>
          <w:color w:val="202124"/>
        </w:rPr>
        <w:t>epma</w:t>
      </w:r>
      <w:proofErr w:type="spellEnd"/>
      <w:r w:rsidRPr="00103DCC">
        <w:rPr>
          <w:color w:val="202124"/>
        </w:rPr>
        <w:t xml:space="preserve"> carts, in the CD cupboard and in close proximity to the liquid medicine storage area. </w:t>
      </w:r>
    </w:p>
    <w:p w:rsidR="00762AE2" w:rsidRPr="00762AE2" w:rsidRDefault="00762AE2" w:rsidP="00762AE2">
      <w:pPr>
        <w:pStyle w:val="ListParagraph"/>
        <w:shd w:val="clear" w:color="auto" w:fill="FFFFFF"/>
        <w:spacing w:after="160"/>
        <w:ind w:left="360"/>
        <w:rPr>
          <w:color w:val="3D5567"/>
        </w:rPr>
      </w:pPr>
    </w:p>
    <w:p w:rsidR="0056612A" w:rsidRPr="00762AE2" w:rsidRDefault="002F1555" w:rsidP="00762AE2">
      <w:pPr>
        <w:pStyle w:val="ListParagraph"/>
        <w:numPr>
          <w:ilvl w:val="0"/>
          <w:numId w:val="9"/>
        </w:numPr>
        <w:shd w:val="clear" w:color="auto" w:fill="FFFFFF"/>
        <w:spacing w:after="160"/>
        <w:rPr>
          <w:color w:val="3D5567"/>
        </w:rPr>
      </w:pPr>
      <w:r w:rsidRPr="00762AE2">
        <w:rPr>
          <w:b/>
        </w:rPr>
        <w:t>The following video is available on the HSIB website, which supports learning related to the risk of wrong route (IV adm</w:t>
      </w:r>
      <w:r w:rsidR="003224E8" w:rsidRPr="00762AE2">
        <w:rPr>
          <w:b/>
        </w:rPr>
        <w:t>inistration of an oral medicine</w:t>
      </w:r>
      <w:r w:rsidRPr="00762AE2">
        <w:rPr>
          <w:b/>
        </w:rPr>
        <w:t>) error.</w:t>
      </w:r>
      <w:r w:rsidR="00762AE2">
        <w:rPr>
          <w:b/>
        </w:rPr>
        <w:t xml:space="preserve"> The Medicines Safety Team would encourage all staff involved in any stage of the medicines process to watch the following video:  </w:t>
      </w:r>
      <w:r w:rsidRPr="00762AE2">
        <w:rPr>
          <w:rFonts w:asciiTheme="majorHAnsi" w:hAnsiTheme="majorHAnsi" w:cstheme="majorHAnsi"/>
        </w:rPr>
        <w:t xml:space="preserve"> </w:t>
      </w:r>
      <w:r w:rsidRPr="00762AE2">
        <w:rPr>
          <w:rFonts w:asciiTheme="majorHAnsi" w:hAnsiTheme="majorHAnsi" w:cstheme="majorHAnsi"/>
          <w:color w:val="3D5567"/>
        </w:rPr>
        <w:br/>
      </w:r>
      <w:hyperlink r:id="rId15" w:history="1">
        <w:r>
          <w:rPr>
            <w:rStyle w:val="Hyperlink"/>
          </w:rPr>
          <w:t>Training video: human factors in wrong route medication - YouTube</w:t>
        </w:r>
      </w:hyperlink>
      <w:r w:rsidR="0056612A">
        <w:t xml:space="preserve"> </w:t>
      </w:r>
      <w:r w:rsidR="0056612A" w:rsidRPr="00762AE2">
        <w:rPr>
          <w:sz w:val="16"/>
          <w:szCs w:val="16"/>
        </w:rPr>
        <w:t xml:space="preserve">(link: </w:t>
      </w:r>
      <w:hyperlink r:id="rId16" w:history="1">
        <w:r w:rsidR="0056612A" w:rsidRPr="00762AE2">
          <w:rPr>
            <w:rStyle w:val="Hyperlink"/>
            <w:sz w:val="16"/>
            <w:szCs w:val="16"/>
          </w:rPr>
          <w:t>https://www.youtube.com/watch?v=jETyQ2q6AV0</w:t>
        </w:r>
      </w:hyperlink>
      <w:r w:rsidR="0056612A" w:rsidRPr="00762AE2">
        <w:rPr>
          <w:sz w:val="16"/>
          <w:szCs w:val="16"/>
        </w:rPr>
        <w:t>)</w:t>
      </w:r>
    </w:p>
    <w:p w:rsidR="00C918D0" w:rsidRDefault="00C918D0" w:rsidP="002F1555">
      <w:pPr>
        <w:shd w:val="clear" w:color="auto" w:fill="FFFFFF"/>
        <w:spacing w:after="160"/>
        <w:rPr>
          <w:color w:val="3D5567"/>
          <w:sz w:val="20"/>
          <w:szCs w:val="20"/>
        </w:rPr>
      </w:pPr>
      <w:r>
        <w:rPr>
          <w:color w:val="3D5567"/>
          <w:sz w:val="20"/>
          <w:szCs w:val="20"/>
        </w:rPr>
        <w:t>For further support and advice please contact a member of the Medicines Safety Team (</w:t>
      </w:r>
      <w:hyperlink r:id="rId17" w:history="1">
        <w:r w:rsidRPr="006A3DDC">
          <w:rPr>
            <w:rStyle w:val="Hyperlink"/>
            <w:sz w:val="20"/>
            <w:szCs w:val="20"/>
          </w:rPr>
          <w:t>medicinessafetyteam@liverpoolft.nhs.ukk</w:t>
        </w:r>
      </w:hyperlink>
      <w:r>
        <w:rPr>
          <w:color w:val="3D5567"/>
          <w:sz w:val="20"/>
          <w:szCs w:val="20"/>
        </w:rPr>
        <w:t>).</w:t>
      </w:r>
    </w:p>
    <w:p w:rsidR="004D088B" w:rsidRPr="002F1555" w:rsidRDefault="00C918D0" w:rsidP="002F1555">
      <w:pPr>
        <w:shd w:val="clear" w:color="auto" w:fill="FFFFFF"/>
        <w:spacing w:after="160"/>
        <w:rPr>
          <w:color w:val="3D5567"/>
          <w:sz w:val="20"/>
          <w:szCs w:val="20"/>
        </w:rPr>
      </w:pPr>
      <w:r>
        <w:rPr>
          <w:color w:val="3D5567"/>
          <w:sz w:val="20"/>
          <w:szCs w:val="20"/>
        </w:rPr>
        <w:t xml:space="preserve"> If the issue relates </w:t>
      </w:r>
      <w:r w:rsidR="006575D9">
        <w:rPr>
          <w:color w:val="3D5567"/>
          <w:sz w:val="20"/>
          <w:szCs w:val="20"/>
        </w:rPr>
        <w:t>to nutrition / enteral feeding tubes please seek support of the Dietician team.</w:t>
      </w:r>
    </w:p>
    <w:p w:rsidR="00103DCC" w:rsidRDefault="00103DCC" w:rsidP="00202614">
      <w:pPr>
        <w:shd w:val="clear" w:color="auto" w:fill="FFFFFF"/>
        <w:spacing w:after="160"/>
        <w:rPr>
          <w:color w:val="3D5567"/>
          <w:sz w:val="20"/>
          <w:szCs w:val="20"/>
        </w:rPr>
      </w:pPr>
    </w:p>
    <w:p w:rsidR="00103DCC" w:rsidRDefault="00103DCC" w:rsidP="00202614">
      <w:pPr>
        <w:shd w:val="clear" w:color="auto" w:fill="FFFFFF"/>
        <w:spacing w:after="160"/>
        <w:rPr>
          <w:color w:val="3D5567"/>
          <w:sz w:val="20"/>
          <w:szCs w:val="20"/>
        </w:rPr>
      </w:pPr>
    </w:p>
    <w:p w:rsidR="00103DCC" w:rsidRDefault="00103DCC" w:rsidP="00202614">
      <w:pPr>
        <w:shd w:val="clear" w:color="auto" w:fill="FFFFFF"/>
        <w:spacing w:after="160"/>
        <w:rPr>
          <w:color w:val="3D5567"/>
          <w:sz w:val="20"/>
          <w:szCs w:val="20"/>
        </w:rPr>
      </w:pPr>
    </w:p>
    <w:p w:rsidR="00762AE2" w:rsidRDefault="00B70821" w:rsidP="00103DCC">
      <w:pPr>
        <w:shd w:val="clear" w:color="auto" w:fill="FFFFFF"/>
        <w:spacing w:after="160"/>
        <w:rPr>
          <w:noProof/>
        </w:rPr>
        <w:sectPr w:rsidR="00762AE2" w:rsidSect="00762AE2">
          <w:footerReference w:type="default" r:id="rId18"/>
          <w:headerReference w:type="first" r:id="rId19"/>
          <w:pgSz w:w="11909" w:h="16834"/>
          <w:pgMar w:top="1440" w:right="1440" w:bottom="1440" w:left="1440" w:header="720" w:footer="720" w:gutter="0"/>
          <w:pgNumType w:start="1"/>
          <w:cols w:space="1"/>
          <w:titlePg/>
          <w:docGrid w:linePitch="299"/>
        </w:sectPr>
      </w:pPr>
      <w:r>
        <w:rPr>
          <w:noProof/>
        </w:rPr>
        <w:sym w:font="Wingdings" w:char="F020"/>
      </w:r>
    </w:p>
    <w:p w:rsidR="00103DCC" w:rsidRPr="00103DCC" w:rsidRDefault="00103DCC" w:rsidP="00103DCC">
      <w:pPr>
        <w:shd w:val="clear" w:color="auto" w:fill="FFFFFF"/>
        <w:spacing w:after="160"/>
        <w:rPr>
          <w:color w:val="3D5567"/>
          <w:sz w:val="20"/>
          <w:szCs w:val="20"/>
        </w:rPr>
      </w:pPr>
    </w:p>
    <w:p w:rsidR="00103DCC" w:rsidRDefault="00103DCC">
      <w:pPr>
        <w:shd w:val="clear" w:color="auto" w:fill="FFFFFF"/>
        <w:spacing w:before="180" w:after="180"/>
        <w:rPr>
          <w:color w:val="202124"/>
          <w:sz w:val="24"/>
          <w:szCs w:val="24"/>
        </w:rPr>
        <w:sectPr w:rsidR="00103DCC" w:rsidSect="00762AE2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1" w:equalWidth="0">
            <w:col w:w="5670" w:space="1"/>
            <w:col w:w="3358"/>
          </w:cols>
          <w:titlePg/>
          <w:docGrid w:linePitch="299"/>
        </w:sectPr>
      </w:pPr>
    </w:p>
    <w:p w:rsidR="00103DCC" w:rsidRDefault="00103DCC">
      <w:pPr>
        <w:shd w:val="clear" w:color="auto" w:fill="FFFFFF"/>
        <w:spacing w:before="180" w:after="180"/>
        <w:rPr>
          <w:color w:val="202124"/>
          <w:sz w:val="24"/>
          <w:szCs w:val="24"/>
        </w:rPr>
      </w:pPr>
    </w:p>
    <w:p w:rsidR="00103DCC" w:rsidRDefault="00103DCC">
      <w:pPr>
        <w:shd w:val="clear" w:color="auto" w:fill="FFFFFF"/>
        <w:spacing w:before="180" w:after="180"/>
        <w:rPr>
          <w:color w:val="202124"/>
          <w:sz w:val="24"/>
          <w:szCs w:val="24"/>
        </w:rPr>
      </w:pPr>
    </w:p>
    <w:p w:rsidR="00817E8D" w:rsidRDefault="00817E8D">
      <w:pPr>
        <w:shd w:val="clear" w:color="auto" w:fill="FFFFFF"/>
        <w:spacing w:before="180" w:after="180"/>
        <w:rPr>
          <w:color w:val="202124"/>
          <w:sz w:val="24"/>
          <w:szCs w:val="24"/>
        </w:rPr>
      </w:pPr>
    </w:p>
    <w:p w:rsidR="00484990" w:rsidRDefault="00484990" w:rsidP="00346449">
      <w:pPr>
        <w:shd w:val="clear" w:color="auto" w:fill="FFFFFF"/>
        <w:spacing w:before="180" w:after="180"/>
        <w:rPr>
          <w:rFonts w:ascii="Helvetica" w:hAnsi="Helvetica" w:cs="Helvetica"/>
          <w:bCs/>
          <w:color w:val="000000"/>
          <w:sz w:val="21"/>
          <w:szCs w:val="21"/>
          <w:shd w:val="clear" w:color="auto" w:fill="FFFFFF"/>
        </w:rPr>
      </w:pPr>
    </w:p>
    <w:p w:rsidR="00484990" w:rsidRDefault="00484990" w:rsidP="00346449">
      <w:pPr>
        <w:shd w:val="clear" w:color="auto" w:fill="FFFFFF"/>
        <w:spacing w:before="180" w:after="180"/>
        <w:rPr>
          <w:rFonts w:ascii="Helvetica" w:hAnsi="Helvetica" w:cs="Helvetica"/>
          <w:bCs/>
          <w:color w:val="000000"/>
          <w:sz w:val="21"/>
          <w:szCs w:val="21"/>
          <w:shd w:val="clear" w:color="auto" w:fill="FFFFFF"/>
        </w:rPr>
      </w:pPr>
    </w:p>
    <w:p w:rsidR="00484990" w:rsidRDefault="00484990" w:rsidP="00346449">
      <w:pPr>
        <w:shd w:val="clear" w:color="auto" w:fill="FFFFFF"/>
        <w:spacing w:before="180" w:after="180"/>
        <w:rPr>
          <w:rFonts w:ascii="Helvetica" w:hAnsi="Helvetica" w:cs="Helvetica"/>
          <w:bCs/>
          <w:color w:val="000000"/>
          <w:sz w:val="21"/>
          <w:szCs w:val="21"/>
          <w:shd w:val="clear" w:color="auto" w:fill="FFFFFF"/>
        </w:rPr>
      </w:pPr>
    </w:p>
    <w:p w:rsidR="00484990" w:rsidRDefault="00484990" w:rsidP="00346449">
      <w:pPr>
        <w:shd w:val="clear" w:color="auto" w:fill="FFFFFF"/>
        <w:spacing w:before="180" w:after="180"/>
        <w:rPr>
          <w:rFonts w:ascii="Helvetica" w:hAnsi="Helvetica" w:cs="Helvetica"/>
          <w:bCs/>
          <w:color w:val="000000"/>
          <w:sz w:val="21"/>
          <w:szCs w:val="21"/>
          <w:shd w:val="clear" w:color="auto" w:fill="FFFFFF"/>
        </w:rPr>
      </w:pPr>
    </w:p>
    <w:p w:rsidR="00484990" w:rsidRDefault="00484990" w:rsidP="00346449">
      <w:pPr>
        <w:shd w:val="clear" w:color="auto" w:fill="FFFFFF"/>
        <w:spacing w:before="180" w:after="180"/>
        <w:rPr>
          <w:rFonts w:ascii="Helvetica" w:hAnsi="Helvetica" w:cs="Helvetica"/>
          <w:bCs/>
          <w:color w:val="000000"/>
          <w:sz w:val="21"/>
          <w:szCs w:val="21"/>
          <w:shd w:val="clear" w:color="auto" w:fill="FFFFFF"/>
        </w:rPr>
      </w:pPr>
    </w:p>
    <w:p w:rsidR="00484990" w:rsidRDefault="00484990" w:rsidP="00346449">
      <w:pPr>
        <w:shd w:val="clear" w:color="auto" w:fill="FFFFFF"/>
        <w:spacing w:before="180" w:after="180"/>
        <w:rPr>
          <w:rFonts w:ascii="Helvetica" w:hAnsi="Helvetica" w:cs="Helvetica"/>
          <w:bCs/>
          <w:color w:val="000000"/>
          <w:sz w:val="21"/>
          <w:szCs w:val="21"/>
          <w:shd w:val="clear" w:color="auto" w:fill="FFFFFF"/>
        </w:rPr>
      </w:pPr>
    </w:p>
    <w:p w:rsidR="00484990" w:rsidRDefault="00484990" w:rsidP="00346449">
      <w:pPr>
        <w:shd w:val="clear" w:color="auto" w:fill="FFFFFF"/>
        <w:spacing w:before="180" w:after="180"/>
        <w:rPr>
          <w:rFonts w:ascii="Helvetica" w:hAnsi="Helvetica" w:cs="Helvetica"/>
          <w:bCs/>
          <w:color w:val="000000"/>
          <w:sz w:val="21"/>
          <w:szCs w:val="21"/>
          <w:shd w:val="clear" w:color="auto" w:fill="FFFFFF"/>
        </w:rPr>
      </w:pPr>
    </w:p>
    <w:p w:rsidR="005E6FC7" w:rsidRDefault="005E6FC7"/>
    <w:sectPr w:rsidR="005E6FC7" w:rsidSect="00103DCC">
      <w:type w:val="continuous"/>
      <w:pgSz w:w="11909" w:h="16834"/>
      <w:pgMar w:top="1440" w:right="1440" w:bottom="1440" w:left="1440" w:header="720" w:footer="720" w:gutter="0"/>
      <w:pgNumType w:start="1"/>
      <w:cols w:num="2" w:space="1" w:equalWidth="0">
        <w:col w:w="5670" w:space="1"/>
        <w:col w:w="33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61" w:rsidRDefault="00651561" w:rsidP="00651561">
      <w:pPr>
        <w:spacing w:line="240" w:lineRule="auto"/>
      </w:pPr>
      <w:r>
        <w:separator/>
      </w:r>
    </w:p>
  </w:endnote>
  <w:endnote w:type="continuationSeparator" w:id="0">
    <w:p w:rsidR="00651561" w:rsidRDefault="00651561" w:rsidP="00651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CC" w:rsidRDefault="00103DCC">
    <w:pPr>
      <w:pStyle w:val="Footer"/>
    </w:pPr>
    <w:r>
      <w:t>v1: safety newsletter Jan 2022: Never Event</w:t>
    </w:r>
    <w:r w:rsidR="006575D9">
      <w:t xml:space="preserve"> series</w:t>
    </w:r>
    <w:r>
      <w:t xml:space="preserve">: wrong route </w:t>
    </w:r>
    <w:r w:rsidR="006575D9">
      <w:t xml:space="preserve">medication error </w:t>
    </w:r>
  </w:p>
  <w:p w:rsidR="00103DCC" w:rsidRDefault="00103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61" w:rsidRDefault="00651561" w:rsidP="00651561">
      <w:pPr>
        <w:spacing w:line="240" w:lineRule="auto"/>
      </w:pPr>
      <w:r>
        <w:separator/>
      </w:r>
    </w:p>
  </w:footnote>
  <w:footnote w:type="continuationSeparator" w:id="0">
    <w:p w:rsidR="00651561" w:rsidRDefault="00651561" w:rsidP="00651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2" w:rsidRDefault="00762AE2">
    <w:pPr>
      <w:pStyle w:val="Header"/>
    </w:pPr>
    <w:r>
      <w:rPr>
        <w:b/>
        <w:color w:val="202124"/>
        <w:sz w:val="24"/>
        <w:szCs w:val="24"/>
      </w:rPr>
      <w:t xml:space="preserve">Near-miss medicines-related Never Events: </w:t>
    </w:r>
    <w:r w:rsidRPr="00103DCC">
      <w:rPr>
        <w:b/>
        <w:color w:val="202124"/>
        <w:sz w:val="24"/>
        <w:szCs w:val="24"/>
      </w:rPr>
      <w:t>Wrong route medication error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329"/>
    <w:multiLevelType w:val="hybridMultilevel"/>
    <w:tmpl w:val="F3C6A6FE"/>
    <w:lvl w:ilvl="0" w:tplc="534E54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40995"/>
    <w:multiLevelType w:val="multilevel"/>
    <w:tmpl w:val="7BE2F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74C6A8F"/>
    <w:multiLevelType w:val="multilevel"/>
    <w:tmpl w:val="9FC620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97377BF"/>
    <w:multiLevelType w:val="hybridMultilevel"/>
    <w:tmpl w:val="5DE48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50BCF"/>
    <w:multiLevelType w:val="hybridMultilevel"/>
    <w:tmpl w:val="8CC03F80"/>
    <w:lvl w:ilvl="0" w:tplc="534E54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3190F"/>
    <w:multiLevelType w:val="multilevel"/>
    <w:tmpl w:val="092E80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288720D"/>
    <w:multiLevelType w:val="multilevel"/>
    <w:tmpl w:val="5008CC3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3D5567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57AD6130"/>
    <w:multiLevelType w:val="hybridMultilevel"/>
    <w:tmpl w:val="A5205662"/>
    <w:lvl w:ilvl="0" w:tplc="92008ED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color w:val="3D5567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0646ED"/>
    <w:multiLevelType w:val="hybridMultilevel"/>
    <w:tmpl w:val="91585CA0"/>
    <w:lvl w:ilvl="0" w:tplc="534E54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D69D5"/>
    <w:multiLevelType w:val="multilevel"/>
    <w:tmpl w:val="D820B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6B8E73D5"/>
    <w:multiLevelType w:val="hybridMultilevel"/>
    <w:tmpl w:val="001E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50447"/>
    <w:multiLevelType w:val="hybridMultilevel"/>
    <w:tmpl w:val="2A3C9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9C0ABE"/>
    <w:multiLevelType w:val="multilevel"/>
    <w:tmpl w:val="824406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6B63"/>
    <w:rsid w:val="000B228E"/>
    <w:rsid w:val="00103DCC"/>
    <w:rsid w:val="001549CF"/>
    <w:rsid w:val="00192CEA"/>
    <w:rsid w:val="00202614"/>
    <w:rsid w:val="00215BC1"/>
    <w:rsid w:val="00287E04"/>
    <w:rsid w:val="002F1555"/>
    <w:rsid w:val="003224E8"/>
    <w:rsid w:val="00346449"/>
    <w:rsid w:val="003E6574"/>
    <w:rsid w:val="00484990"/>
    <w:rsid w:val="004D088B"/>
    <w:rsid w:val="0056612A"/>
    <w:rsid w:val="005753EF"/>
    <w:rsid w:val="005C3411"/>
    <w:rsid w:val="005E6FC7"/>
    <w:rsid w:val="00651561"/>
    <w:rsid w:val="006575D9"/>
    <w:rsid w:val="007036C7"/>
    <w:rsid w:val="00762AE2"/>
    <w:rsid w:val="00817E8D"/>
    <w:rsid w:val="00873444"/>
    <w:rsid w:val="008D3B06"/>
    <w:rsid w:val="009A2B46"/>
    <w:rsid w:val="009E2EA6"/>
    <w:rsid w:val="00B70821"/>
    <w:rsid w:val="00B803FB"/>
    <w:rsid w:val="00C16AB7"/>
    <w:rsid w:val="00C603D9"/>
    <w:rsid w:val="00C918D0"/>
    <w:rsid w:val="00CA68CB"/>
    <w:rsid w:val="00CC561E"/>
    <w:rsid w:val="00CF5E1F"/>
    <w:rsid w:val="00E51447"/>
    <w:rsid w:val="00E70F1F"/>
    <w:rsid w:val="00E71DCC"/>
    <w:rsid w:val="00EB6B63"/>
    <w:rsid w:val="00E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5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61"/>
  </w:style>
  <w:style w:type="paragraph" w:styleId="Footer">
    <w:name w:val="footer"/>
    <w:basedOn w:val="Normal"/>
    <w:link w:val="FooterChar"/>
    <w:uiPriority w:val="99"/>
    <w:unhideWhenUsed/>
    <w:rsid w:val="006515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61"/>
  </w:style>
  <w:style w:type="character" w:styleId="CommentReference">
    <w:name w:val="annotation reference"/>
    <w:basedOn w:val="DefaultParagraphFont"/>
    <w:uiPriority w:val="99"/>
    <w:semiHidden/>
    <w:unhideWhenUsed/>
    <w:rsid w:val="0020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1555"/>
    <w:rPr>
      <w:color w:val="0000FF"/>
      <w:u w:val="single"/>
    </w:rPr>
  </w:style>
  <w:style w:type="table" w:styleId="TableGrid">
    <w:name w:val="Table Grid"/>
    <w:basedOn w:val="TableNormal"/>
    <w:uiPriority w:val="59"/>
    <w:rsid w:val="004849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1D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5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61"/>
  </w:style>
  <w:style w:type="paragraph" w:styleId="Footer">
    <w:name w:val="footer"/>
    <w:basedOn w:val="Normal"/>
    <w:link w:val="FooterChar"/>
    <w:uiPriority w:val="99"/>
    <w:unhideWhenUsed/>
    <w:rsid w:val="006515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61"/>
  </w:style>
  <w:style w:type="character" w:styleId="CommentReference">
    <w:name w:val="annotation reference"/>
    <w:basedOn w:val="DefaultParagraphFont"/>
    <w:uiPriority w:val="99"/>
    <w:semiHidden/>
    <w:unhideWhenUsed/>
    <w:rsid w:val="0020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1555"/>
    <w:rPr>
      <w:color w:val="0000FF"/>
      <w:u w:val="single"/>
    </w:rPr>
  </w:style>
  <w:style w:type="table" w:styleId="TableGrid">
    <w:name w:val="Table Grid"/>
    <w:basedOn w:val="TableNormal"/>
    <w:uiPriority w:val="59"/>
    <w:rsid w:val="004849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1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cwishart\AppData\Local\Microsoft\Windows\INetCache\Content.Outlook\9BGM86QH\NRLS%20|%200408%20|%20Promoting%20safer%20measurement%20and%20administration%20of%20liquid%20medicines%20via%20oral%20and%20other%20enteral%20routes:%20patient%20safety%20alert%20(sps.nhs.uk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england.nhs.uk/wp-content/uploads/2020/11/2018-Never-Events-List-updated-February-2021.pdf" TargetMode="External"/><Relationship Id="rId17" Type="http://schemas.openxmlformats.org/officeDocument/2006/relationships/hyperlink" Target="mailto:medicinessafetyteam@liverpoolft.nhs.uk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ETyQ2q6AV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jETyQ2q6AV0&amp;feature=youtu.be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bukgroup.com/brands/gbuk-ente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1589-632B-4279-950B-40900E91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36976D74</Template>
  <TotalTime>30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Aintree University Hospital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BAKER</dc:creator>
  <cp:lastModifiedBy>LEAH BAKER</cp:lastModifiedBy>
  <cp:revision>4</cp:revision>
  <dcterms:created xsi:type="dcterms:W3CDTF">2022-01-21T13:32:00Z</dcterms:created>
  <dcterms:modified xsi:type="dcterms:W3CDTF">2022-01-21T18:39:00Z</dcterms:modified>
</cp:coreProperties>
</file>